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D03D1C" w:rsidR="00B93084" w:rsidRDefault="54419A6D">
      <w:pPr>
        <w:pStyle w:val="Title"/>
      </w:pPr>
      <w:bookmarkStart w:id="0" w:name="_4rgqg75v0xth"/>
      <w:bookmarkEnd w:id="0"/>
      <w:r>
        <w:t>Cheat Sheet</w:t>
      </w:r>
      <w:r w:rsidR="3FA0AAEC">
        <w:t xml:space="preserve"> for Using APA 7 in Discussion Posts and Class Assignments</w:t>
      </w:r>
    </w:p>
    <w:p w14:paraId="00000007" w14:textId="01B23E6C" w:rsidR="00B93084" w:rsidRDefault="3FA0AAEC">
      <w:pPr>
        <w:pStyle w:val="Heading2"/>
      </w:pPr>
      <w:bookmarkStart w:id="1" w:name="dl3hht24ulfj" w:colFirst="0" w:colLast="0"/>
      <w:bookmarkStart w:id="2" w:name="_kir3jxpbh8ds"/>
      <w:bookmarkEnd w:id="1"/>
      <w:bookmarkEnd w:id="2"/>
      <w:r>
        <w:t>Parenthetical Citations</w:t>
      </w:r>
    </w:p>
    <w:p w14:paraId="00000008" w14:textId="77777777" w:rsidR="00B93084" w:rsidRDefault="00B93084">
      <w:pPr>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600"/>
      </w:tblGrid>
      <w:tr w:rsidR="00B93084" w14:paraId="38346B87" w14:textId="77777777" w:rsidTr="3FA0AAEC">
        <w:trPr>
          <w:trHeight w:val="440"/>
        </w:trPr>
        <w:tc>
          <w:tcPr>
            <w:tcW w:w="9360" w:type="dxa"/>
            <w:gridSpan w:val="2"/>
            <w:shd w:val="clear" w:color="auto" w:fill="auto"/>
            <w:tcMar>
              <w:top w:w="100" w:type="dxa"/>
              <w:left w:w="100" w:type="dxa"/>
              <w:bottom w:w="100" w:type="dxa"/>
              <w:right w:w="100" w:type="dxa"/>
            </w:tcMar>
          </w:tcPr>
          <w:p w14:paraId="00000009" w14:textId="77777777" w:rsidR="00B93084"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Formats</w:t>
            </w:r>
          </w:p>
        </w:tc>
      </w:tr>
      <w:tr w:rsidR="00B93084" w14:paraId="390E71C5" w14:textId="77777777" w:rsidTr="3FA0AAEC">
        <w:tc>
          <w:tcPr>
            <w:tcW w:w="2760" w:type="dxa"/>
            <w:shd w:val="clear" w:color="auto" w:fill="auto"/>
            <w:tcMar>
              <w:top w:w="100" w:type="dxa"/>
              <w:left w:w="100" w:type="dxa"/>
              <w:bottom w:w="100" w:type="dxa"/>
              <w:right w:w="100" w:type="dxa"/>
            </w:tcMar>
          </w:tcPr>
          <w:p w14:paraId="0000000B" w14:textId="77777777" w:rsidR="00B93084"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One author </w:t>
            </w:r>
          </w:p>
        </w:tc>
        <w:tc>
          <w:tcPr>
            <w:tcW w:w="6600" w:type="dxa"/>
            <w:shd w:val="clear" w:color="auto" w:fill="auto"/>
            <w:tcMar>
              <w:top w:w="100" w:type="dxa"/>
              <w:left w:w="100" w:type="dxa"/>
              <w:bottom w:w="100" w:type="dxa"/>
              <w:right w:w="100" w:type="dxa"/>
            </w:tcMar>
          </w:tcPr>
          <w:p w14:paraId="0000000C" w14:textId="2440CBF0" w:rsidR="00B93084" w:rsidRDefault="3FA0AAEC" w:rsidP="3FA0AAEC">
            <w:pPr>
              <w:widowControl w:val="0"/>
              <w:spacing w:line="240" w:lineRule="auto"/>
              <w:rPr>
                <w:rFonts w:ascii="Times New Roman" w:eastAsia="Times New Roman" w:hAnsi="Times New Roman" w:cs="Times New Roman"/>
                <w:b/>
                <w:bCs/>
                <w:color w:val="351C75"/>
                <w:sz w:val="24"/>
                <w:szCs w:val="24"/>
              </w:rPr>
            </w:pPr>
            <w:r w:rsidRPr="3FA0AAEC">
              <w:rPr>
                <w:rFonts w:ascii="Times New Roman" w:eastAsia="Times New Roman" w:hAnsi="Times New Roman" w:cs="Times New Roman"/>
                <w:b/>
                <w:bCs/>
                <w:color w:val="351C75"/>
                <w:sz w:val="24"/>
                <w:szCs w:val="24"/>
              </w:rPr>
              <w:t>(Alexander, 2018)</w:t>
            </w:r>
          </w:p>
        </w:tc>
      </w:tr>
      <w:tr w:rsidR="00B93084" w14:paraId="78965F16" w14:textId="77777777" w:rsidTr="3FA0AAEC">
        <w:tc>
          <w:tcPr>
            <w:tcW w:w="2760" w:type="dxa"/>
            <w:shd w:val="clear" w:color="auto" w:fill="auto"/>
            <w:tcMar>
              <w:top w:w="100" w:type="dxa"/>
              <w:left w:w="100" w:type="dxa"/>
              <w:bottom w:w="100" w:type="dxa"/>
              <w:right w:w="100" w:type="dxa"/>
            </w:tcMar>
          </w:tcPr>
          <w:p w14:paraId="0000000D" w14:textId="77777777" w:rsidR="00B93084"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authors</w:t>
            </w:r>
          </w:p>
        </w:tc>
        <w:tc>
          <w:tcPr>
            <w:tcW w:w="6600" w:type="dxa"/>
            <w:shd w:val="clear" w:color="auto" w:fill="auto"/>
            <w:tcMar>
              <w:top w:w="100" w:type="dxa"/>
              <w:left w:w="100" w:type="dxa"/>
              <w:bottom w:w="100" w:type="dxa"/>
              <w:right w:w="100" w:type="dxa"/>
            </w:tcMar>
          </w:tcPr>
          <w:p w14:paraId="0000000E" w14:textId="77777777" w:rsidR="00B9308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(Alexander &amp; Anderson, 2018)</w:t>
            </w:r>
          </w:p>
        </w:tc>
      </w:tr>
      <w:tr w:rsidR="00B93084" w14:paraId="23380FA6" w14:textId="77777777" w:rsidTr="3FA0AAEC">
        <w:tc>
          <w:tcPr>
            <w:tcW w:w="2760" w:type="dxa"/>
            <w:shd w:val="clear" w:color="auto" w:fill="auto"/>
            <w:tcMar>
              <w:top w:w="100" w:type="dxa"/>
              <w:left w:w="100" w:type="dxa"/>
              <w:bottom w:w="100" w:type="dxa"/>
              <w:right w:w="100" w:type="dxa"/>
            </w:tcMar>
          </w:tcPr>
          <w:p w14:paraId="0000000F" w14:textId="77777777" w:rsidR="00B93084"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or more authors</w:t>
            </w:r>
          </w:p>
        </w:tc>
        <w:tc>
          <w:tcPr>
            <w:tcW w:w="6600" w:type="dxa"/>
            <w:shd w:val="clear" w:color="auto" w:fill="auto"/>
            <w:tcMar>
              <w:top w:w="100" w:type="dxa"/>
              <w:left w:w="100" w:type="dxa"/>
              <w:bottom w:w="100" w:type="dxa"/>
              <w:right w:w="100" w:type="dxa"/>
            </w:tcMar>
          </w:tcPr>
          <w:p w14:paraId="00000010"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et al., 2018)</w:t>
            </w:r>
          </w:p>
        </w:tc>
      </w:tr>
      <w:tr w:rsidR="00B93084" w14:paraId="672EAD1B" w14:textId="77777777" w:rsidTr="3FA0AAEC">
        <w:tc>
          <w:tcPr>
            <w:tcW w:w="2760" w:type="dxa"/>
            <w:shd w:val="clear" w:color="auto" w:fill="auto"/>
            <w:tcMar>
              <w:top w:w="100" w:type="dxa"/>
              <w:left w:w="100" w:type="dxa"/>
              <w:bottom w:w="100" w:type="dxa"/>
              <w:right w:w="100" w:type="dxa"/>
            </w:tcMar>
          </w:tcPr>
          <w:p w14:paraId="00000011" w14:textId="77777777" w:rsidR="00B93084"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Citation when a quote is present in the sentence</w:t>
            </w:r>
          </w:p>
        </w:tc>
        <w:tc>
          <w:tcPr>
            <w:tcW w:w="6600" w:type="dxa"/>
            <w:shd w:val="clear" w:color="auto" w:fill="auto"/>
            <w:tcMar>
              <w:top w:w="100" w:type="dxa"/>
              <w:left w:w="100" w:type="dxa"/>
              <w:bottom w:w="100" w:type="dxa"/>
              <w:right w:w="100" w:type="dxa"/>
            </w:tcMar>
          </w:tcPr>
          <w:p w14:paraId="00000012"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&amp; Anderson, 2018, p. 34)</w:t>
            </w:r>
          </w:p>
          <w:p w14:paraId="00000013"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&amp; Anderson, 2018, pp. 34-56)</w:t>
            </w:r>
          </w:p>
          <w:p w14:paraId="00000014"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et al., 2018, pp. 34-56)</w:t>
            </w:r>
          </w:p>
        </w:tc>
      </w:tr>
      <w:tr w:rsidR="00B93084" w14:paraId="315C162A" w14:textId="77777777" w:rsidTr="3FA0AAEC">
        <w:tc>
          <w:tcPr>
            <w:tcW w:w="2760" w:type="dxa"/>
            <w:shd w:val="clear" w:color="auto" w:fill="auto"/>
            <w:tcMar>
              <w:top w:w="100" w:type="dxa"/>
              <w:left w:w="100" w:type="dxa"/>
              <w:bottom w:w="100" w:type="dxa"/>
              <w:right w:w="100" w:type="dxa"/>
            </w:tcMar>
          </w:tcPr>
          <w:p w14:paraId="00000015" w14:textId="77777777" w:rsidR="00B93084"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w:t>
            </w:r>
          </w:p>
        </w:tc>
        <w:tc>
          <w:tcPr>
            <w:tcW w:w="6600" w:type="dxa"/>
            <w:shd w:val="clear" w:color="auto" w:fill="auto"/>
            <w:tcMar>
              <w:top w:w="100" w:type="dxa"/>
              <w:left w:w="100" w:type="dxa"/>
              <w:bottom w:w="100" w:type="dxa"/>
              <w:right w:w="100" w:type="dxa"/>
            </w:tcMar>
          </w:tcPr>
          <w:p w14:paraId="2D03AB1C" w14:textId="38C9F1FF" w:rsidR="46DC92D9" w:rsidRDefault="46DC92D9" w:rsidP="3FA0AAEC">
            <w:pPr>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(NGSS Lead States, 2013)</w:t>
            </w:r>
          </w:p>
          <w:p w14:paraId="00000016"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(NIMH, 2020)</w:t>
            </w:r>
          </w:p>
          <w:p w14:paraId="00000017"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(Stanford University, 2020)</w:t>
            </w:r>
          </w:p>
        </w:tc>
      </w:tr>
      <w:tr w:rsidR="00B93084" w14:paraId="1EF4CBA7" w14:textId="77777777" w:rsidTr="3FA0AAEC">
        <w:tc>
          <w:tcPr>
            <w:tcW w:w="2760" w:type="dxa"/>
            <w:shd w:val="clear" w:color="auto" w:fill="auto"/>
            <w:tcMar>
              <w:top w:w="100" w:type="dxa"/>
              <w:left w:w="100" w:type="dxa"/>
              <w:bottom w:w="100" w:type="dxa"/>
              <w:right w:w="100" w:type="dxa"/>
            </w:tcMar>
          </w:tcPr>
          <w:p w14:paraId="00000018" w14:textId="77777777" w:rsidR="00B93084"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w:t>
            </w:r>
          </w:p>
        </w:tc>
        <w:tc>
          <w:tcPr>
            <w:tcW w:w="6600" w:type="dxa"/>
            <w:shd w:val="clear" w:color="auto" w:fill="auto"/>
            <w:tcMar>
              <w:top w:w="100" w:type="dxa"/>
              <w:left w:w="100" w:type="dxa"/>
              <w:bottom w:w="100" w:type="dxa"/>
              <w:right w:w="100" w:type="dxa"/>
            </w:tcMar>
          </w:tcPr>
          <w:p w14:paraId="00000019" w14:textId="77777777" w:rsidR="00B93084" w:rsidRDefault="00000000">
            <w:pPr>
              <w:widowControl w:val="0"/>
              <w:spacing w:line="240"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(A Guide to Social Learning Theory in Education, 2020)</w:t>
            </w:r>
          </w:p>
        </w:tc>
      </w:tr>
      <w:tr w:rsidR="00B93084" w14:paraId="1D8891D7" w14:textId="77777777" w:rsidTr="3FA0AAEC">
        <w:tc>
          <w:tcPr>
            <w:tcW w:w="2760" w:type="dxa"/>
            <w:shd w:val="clear" w:color="auto" w:fill="auto"/>
            <w:tcMar>
              <w:top w:w="100" w:type="dxa"/>
              <w:left w:w="100" w:type="dxa"/>
              <w:bottom w:w="100" w:type="dxa"/>
              <w:right w:w="100" w:type="dxa"/>
            </w:tcMar>
          </w:tcPr>
          <w:p w14:paraId="0000001A" w14:textId="77777777" w:rsidR="00B93084"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Adding more than one citation </w:t>
            </w:r>
          </w:p>
        </w:tc>
        <w:tc>
          <w:tcPr>
            <w:tcW w:w="6600" w:type="dxa"/>
            <w:shd w:val="clear" w:color="auto" w:fill="auto"/>
            <w:tcMar>
              <w:top w:w="100" w:type="dxa"/>
              <w:left w:w="100" w:type="dxa"/>
              <w:bottom w:w="100" w:type="dxa"/>
              <w:right w:w="100" w:type="dxa"/>
            </w:tcMar>
          </w:tcPr>
          <w:p w14:paraId="0000001B" w14:textId="77777777" w:rsidR="00B93084" w:rsidRDefault="00000000">
            <w:pPr>
              <w:widowControl w:val="0"/>
              <w:spacing w:line="240" w:lineRule="auto"/>
              <w:rPr>
                <w:rFonts w:ascii="Times New Roman" w:eastAsia="Times New Roman" w:hAnsi="Times New Roman" w:cs="Times New Roman"/>
                <w:b/>
                <w:color w:val="0B5394"/>
                <w:sz w:val="24"/>
                <w:szCs w:val="24"/>
              </w:rPr>
            </w:pPr>
            <w:r>
              <w:rPr>
                <w:rFonts w:ascii="Times New Roman" w:eastAsia="Times New Roman" w:hAnsi="Times New Roman" w:cs="Times New Roman"/>
                <w:b/>
                <w:color w:val="0B5394"/>
                <w:sz w:val="24"/>
                <w:szCs w:val="24"/>
              </w:rPr>
              <w:t>(Alexander, 2018; Anderson &amp; Roberts, 2019)</w:t>
            </w:r>
          </w:p>
          <w:p w14:paraId="0000001C"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2018; Martin et al., 2016; Salas &amp; D’Agostino, 2020)</w:t>
            </w:r>
          </w:p>
        </w:tc>
      </w:tr>
    </w:tbl>
    <w:p w14:paraId="0000001E" w14:textId="46DAD399" w:rsidR="00B93084" w:rsidRDefault="3FA0AAEC" w:rsidP="3FA0AAEC">
      <w:pPr>
        <w:pStyle w:val="Heading3"/>
        <w:rPr>
          <w:rFonts w:ascii="Times New Roman" w:eastAsia="Times New Roman" w:hAnsi="Times New Roman" w:cs="Times New Roman"/>
          <w:sz w:val="24"/>
          <w:szCs w:val="24"/>
        </w:rPr>
      </w:pPr>
      <w:bookmarkStart w:id="3" w:name="_xrghxqed8oxd"/>
      <w:bookmarkEnd w:id="3"/>
      <w:r>
        <w:t>Examples</w:t>
      </w:r>
    </w:p>
    <w:p w14:paraId="0000001F" w14:textId="77777777" w:rsidR="00B93084" w:rsidRDefault="00B93084">
      <w:pPr>
        <w:rPr>
          <w:rFonts w:ascii="Trebuchet MS" w:eastAsia="Trebuchet MS" w:hAnsi="Trebuchet MS" w:cs="Trebuchet MS"/>
          <w:sz w:val="18"/>
          <w:szCs w:val="18"/>
          <w:highlight w:val="white"/>
        </w:rPr>
      </w:pPr>
    </w:p>
    <w:p w14:paraId="00000020" w14:textId="77777777" w:rsidR="00B93084" w:rsidRDefault="3FA0AAEC">
      <w:pPr>
        <w:rPr>
          <w:rFonts w:ascii="Times New Roman" w:eastAsia="Times New Roman" w:hAnsi="Times New Roman" w:cs="Times New Roman"/>
        </w:rPr>
      </w:pPr>
      <w:r w:rsidRPr="3FA0AAEC">
        <w:rPr>
          <w:rFonts w:ascii="Times New Roman" w:eastAsia="Times New Roman" w:hAnsi="Times New Roman" w:cs="Times New Roman"/>
        </w:rPr>
        <w:t xml:space="preserve">Created by Alfred Bandura, the social learning theory is learning based on observation and has four defining elements: (a) attention, (b) retention, (c) reproduction, and (d) motivation </w:t>
      </w:r>
      <w:r w:rsidRPr="3FA0AAEC">
        <w:rPr>
          <w:rFonts w:ascii="Times New Roman" w:eastAsia="Times New Roman" w:hAnsi="Times New Roman" w:cs="Times New Roman"/>
          <w:b/>
          <w:bCs/>
          <w:color w:val="0B5394"/>
        </w:rPr>
        <w:t xml:space="preserve">(A Guide to Social Learning Theory in Education, 2020; </w:t>
      </w:r>
      <w:proofErr w:type="spellStart"/>
      <w:r w:rsidRPr="3FA0AAEC">
        <w:rPr>
          <w:rFonts w:ascii="Times New Roman" w:eastAsia="Times New Roman" w:hAnsi="Times New Roman" w:cs="Times New Roman"/>
          <w:b/>
          <w:bCs/>
          <w:color w:val="0B5394"/>
        </w:rPr>
        <w:t>Dolgin</w:t>
      </w:r>
      <w:proofErr w:type="spellEnd"/>
      <w:r w:rsidRPr="3FA0AAEC">
        <w:rPr>
          <w:rFonts w:ascii="Times New Roman" w:eastAsia="Times New Roman" w:hAnsi="Times New Roman" w:cs="Times New Roman"/>
          <w:b/>
          <w:bCs/>
          <w:color w:val="0B5394"/>
        </w:rPr>
        <w:t>, 2018)</w:t>
      </w:r>
      <w:r w:rsidRPr="3FA0AAEC">
        <w:rPr>
          <w:rFonts w:ascii="Times New Roman" w:eastAsia="Times New Roman" w:hAnsi="Times New Roman" w:cs="Times New Roman"/>
        </w:rPr>
        <w:t xml:space="preserve">. According to </w:t>
      </w:r>
      <w:proofErr w:type="spellStart"/>
      <w:r w:rsidRPr="3FA0AAEC">
        <w:rPr>
          <w:rFonts w:ascii="Times New Roman" w:eastAsia="Times New Roman" w:hAnsi="Times New Roman" w:cs="Times New Roman"/>
        </w:rPr>
        <w:t>Dolgin</w:t>
      </w:r>
      <w:proofErr w:type="spellEnd"/>
      <w:r w:rsidRPr="3FA0AAEC">
        <w:rPr>
          <w:rFonts w:ascii="Times New Roman" w:eastAsia="Times New Roman" w:hAnsi="Times New Roman" w:cs="Times New Roman"/>
        </w:rPr>
        <w:t xml:space="preserve"> (2018), social learning happens "through observing the behavior of others and imitating this pattern - a process referred to as modeling" (p. 41). While considering that observation is a key to social learning, it is also important to consider what impacts learning. For example, as an in-service educator I know that when I provide an instructional hook at the beginning of my lessons that my students are more likely to stay focused on the task. This observation connects with Bandura's ideas that keeping students focused on the task is pivotal for learning to take place and for retention of material and reproduction of the same behavior to happen again </w:t>
      </w:r>
      <w:r w:rsidRPr="3FA0AAEC">
        <w:rPr>
          <w:rFonts w:ascii="Times New Roman" w:eastAsia="Times New Roman" w:hAnsi="Times New Roman" w:cs="Times New Roman"/>
          <w:b/>
          <w:bCs/>
          <w:color w:val="38761D"/>
        </w:rPr>
        <w:t>(A Guide to Social Learning Theory in Education, 2020)</w:t>
      </w:r>
      <w:r w:rsidRPr="3FA0AAEC">
        <w:rPr>
          <w:rFonts w:ascii="Times New Roman" w:eastAsia="Times New Roman" w:hAnsi="Times New Roman" w:cs="Times New Roman"/>
        </w:rPr>
        <w:t xml:space="preserve">. Additionally, the theory shares that vicarious reinforcement and self-reinforcement play a part in motivating the learner to keep at a task or to try things where they can apply similar skills </w:t>
      </w:r>
      <w:r w:rsidRPr="3FA0AAEC">
        <w:rPr>
          <w:rFonts w:ascii="Times New Roman" w:eastAsia="Times New Roman" w:hAnsi="Times New Roman" w:cs="Times New Roman"/>
          <w:b/>
          <w:bCs/>
          <w:color w:val="351C75"/>
        </w:rPr>
        <w:t>(</w:t>
      </w:r>
      <w:proofErr w:type="spellStart"/>
      <w:r w:rsidRPr="3FA0AAEC">
        <w:rPr>
          <w:rFonts w:ascii="Times New Roman" w:eastAsia="Times New Roman" w:hAnsi="Times New Roman" w:cs="Times New Roman"/>
          <w:b/>
          <w:bCs/>
          <w:color w:val="351C75"/>
        </w:rPr>
        <w:t>Dolgin</w:t>
      </w:r>
      <w:proofErr w:type="spellEnd"/>
      <w:r w:rsidRPr="3FA0AAEC">
        <w:rPr>
          <w:rFonts w:ascii="Times New Roman" w:eastAsia="Times New Roman" w:hAnsi="Times New Roman" w:cs="Times New Roman"/>
          <w:b/>
          <w:bCs/>
          <w:color w:val="351C75"/>
        </w:rPr>
        <w:t>, 2018)</w:t>
      </w:r>
      <w:r w:rsidRPr="3FA0AAEC">
        <w:rPr>
          <w:rFonts w:ascii="Times New Roman" w:eastAsia="Times New Roman" w:hAnsi="Times New Roman" w:cs="Times New Roman"/>
        </w:rPr>
        <w:t>.</w:t>
      </w:r>
    </w:p>
    <w:p w14:paraId="0B593538" w14:textId="7676247B" w:rsidR="3FA0AAEC" w:rsidRDefault="3FA0AAEC">
      <w:bookmarkStart w:id="4" w:name="wqfv8rkfyhg6" w:colFirst="0" w:colLast="0"/>
      <w:bookmarkEnd w:id="4"/>
      <w:r>
        <w:br w:type="page"/>
      </w:r>
    </w:p>
    <w:p w14:paraId="10215543" w14:textId="00BE172C" w:rsidR="3FA0AAEC" w:rsidRDefault="3FA0AAEC" w:rsidP="3FA0AAEC">
      <w:pPr>
        <w:rPr>
          <w:rFonts w:ascii="Times New Roman" w:eastAsia="Times New Roman" w:hAnsi="Times New Roman" w:cs="Times New Roman"/>
        </w:rPr>
      </w:pPr>
    </w:p>
    <w:p w14:paraId="00000021" w14:textId="77777777" w:rsidR="00B93084" w:rsidRDefault="00000000">
      <w:pPr>
        <w:pStyle w:val="Heading2"/>
        <w:rPr>
          <w:rFonts w:ascii="Times New Roman" w:eastAsia="Times New Roman" w:hAnsi="Times New Roman" w:cs="Times New Roman"/>
          <w:sz w:val="24"/>
          <w:szCs w:val="24"/>
        </w:rPr>
      </w:pPr>
      <w:bookmarkStart w:id="5" w:name="_26ri37rl8fw8" w:colFirst="0" w:colLast="0"/>
      <w:bookmarkEnd w:id="5"/>
      <w:r>
        <w:t>In-Text Citations</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0"/>
        <w:gridCol w:w="6600"/>
      </w:tblGrid>
      <w:tr w:rsidR="00B93084" w14:paraId="7FBBC327" w14:textId="77777777" w:rsidTr="3FA0AAEC">
        <w:trPr>
          <w:trHeight w:val="440"/>
        </w:trPr>
        <w:tc>
          <w:tcPr>
            <w:tcW w:w="9360" w:type="dxa"/>
            <w:gridSpan w:val="2"/>
            <w:shd w:val="clear" w:color="auto" w:fill="auto"/>
            <w:tcMar>
              <w:top w:w="100" w:type="dxa"/>
              <w:left w:w="100" w:type="dxa"/>
              <w:bottom w:w="100" w:type="dxa"/>
              <w:right w:w="100" w:type="dxa"/>
            </w:tcMar>
          </w:tcPr>
          <w:p w14:paraId="00000022" w14:textId="77777777" w:rsidR="00B93084" w:rsidRDefault="00000000">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Formats</w:t>
            </w:r>
          </w:p>
        </w:tc>
      </w:tr>
      <w:tr w:rsidR="00B93084" w14:paraId="15F10F04" w14:textId="77777777" w:rsidTr="3FA0AAEC">
        <w:tc>
          <w:tcPr>
            <w:tcW w:w="2760" w:type="dxa"/>
            <w:shd w:val="clear" w:color="auto" w:fill="auto"/>
            <w:tcMar>
              <w:top w:w="100" w:type="dxa"/>
              <w:left w:w="100" w:type="dxa"/>
              <w:bottom w:w="100" w:type="dxa"/>
              <w:right w:w="100" w:type="dxa"/>
            </w:tcMar>
          </w:tcPr>
          <w:p w14:paraId="00000024" w14:textId="77777777" w:rsidR="00B9308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One author </w:t>
            </w:r>
          </w:p>
        </w:tc>
        <w:tc>
          <w:tcPr>
            <w:tcW w:w="6600" w:type="dxa"/>
            <w:shd w:val="clear" w:color="auto" w:fill="auto"/>
            <w:tcMar>
              <w:top w:w="100" w:type="dxa"/>
              <w:left w:w="100" w:type="dxa"/>
              <w:bottom w:w="100" w:type="dxa"/>
              <w:right w:w="100" w:type="dxa"/>
            </w:tcMar>
          </w:tcPr>
          <w:p w14:paraId="28264524" w14:textId="4BB6AC6D" w:rsidR="00B93084" w:rsidRDefault="3FA0AAEC" w:rsidP="3FA0AAEC">
            <w:pPr>
              <w:widowControl w:val="0"/>
              <w:spacing w:line="240" w:lineRule="auto"/>
              <w:rPr>
                <w:rFonts w:ascii="Times New Roman" w:eastAsia="Times New Roman" w:hAnsi="Times New Roman" w:cs="Times New Roman"/>
                <w:b/>
                <w:bCs/>
                <w:color w:val="38761D"/>
                <w:sz w:val="24"/>
                <w:szCs w:val="24"/>
              </w:rPr>
            </w:pPr>
            <w:r w:rsidRPr="3FA0AAEC">
              <w:rPr>
                <w:rFonts w:ascii="Times New Roman" w:eastAsia="Times New Roman" w:hAnsi="Times New Roman" w:cs="Times New Roman"/>
                <w:b/>
                <w:bCs/>
                <w:color w:val="38761D"/>
                <w:sz w:val="24"/>
                <w:szCs w:val="24"/>
              </w:rPr>
              <w:t>Alexander (2018)</w:t>
            </w:r>
          </w:p>
          <w:p w14:paraId="00000025" w14:textId="45EE8724" w:rsidR="00B93084" w:rsidRDefault="19E60ACC" w:rsidP="3FA0AAEC">
            <w:pPr>
              <w:widowControl w:val="0"/>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NGSS Lead States (2013)</w:t>
            </w:r>
          </w:p>
        </w:tc>
      </w:tr>
      <w:tr w:rsidR="00B93084" w14:paraId="6ED5F8FC" w14:textId="77777777" w:rsidTr="3FA0AAEC">
        <w:tc>
          <w:tcPr>
            <w:tcW w:w="2760" w:type="dxa"/>
            <w:shd w:val="clear" w:color="auto" w:fill="auto"/>
            <w:tcMar>
              <w:top w:w="100" w:type="dxa"/>
              <w:left w:w="100" w:type="dxa"/>
              <w:bottom w:w="100" w:type="dxa"/>
              <w:right w:w="100" w:type="dxa"/>
            </w:tcMar>
          </w:tcPr>
          <w:p w14:paraId="00000026" w14:textId="77777777" w:rsidR="00B9308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authors</w:t>
            </w:r>
          </w:p>
        </w:tc>
        <w:tc>
          <w:tcPr>
            <w:tcW w:w="6600" w:type="dxa"/>
            <w:shd w:val="clear" w:color="auto" w:fill="auto"/>
            <w:tcMar>
              <w:top w:w="100" w:type="dxa"/>
              <w:left w:w="100" w:type="dxa"/>
              <w:bottom w:w="100" w:type="dxa"/>
              <w:right w:w="100" w:type="dxa"/>
            </w:tcMar>
          </w:tcPr>
          <w:p w14:paraId="00000027" w14:textId="77777777" w:rsidR="00B93084" w:rsidRDefault="00000000">
            <w:pPr>
              <w:widowControl w:val="0"/>
              <w:spacing w:line="240" w:lineRule="auto"/>
              <w:rPr>
                <w:rFonts w:ascii="Times New Roman" w:eastAsia="Times New Roman" w:hAnsi="Times New Roman" w:cs="Times New Roman"/>
                <w:b/>
                <w:color w:val="1155CC"/>
                <w:sz w:val="24"/>
                <w:szCs w:val="24"/>
              </w:rPr>
            </w:pPr>
            <w:r>
              <w:rPr>
                <w:rFonts w:ascii="Times New Roman" w:eastAsia="Times New Roman" w:hAnsi="Times New Roman" w:cs="Times New Roman"/>
                <w:sz w:val="24"/>
                <w:szCs w:val="24"/>
              </w:rPr>
              <w:t xml:space="preserve">According to </w:t>
            </w:r>
            <w:r>
              <w:rPr>
                <w:rFonts w:ascii="Times New Roman" w:eastAsia="Times New Roman" w:hAnsi="Times New Roman" w:cs="Times New Roman"/>
                <w:b/>
                <w:color w:val="1155CC"/>
                <w:sz w:val="24"/>
                <w:szCs w:val="24"/>
              </w:rPr>
              <w:t xml:space="preserve">Alexander and Anderson (2018) </w:t>
            </w:r>
          </w:p>
        </w:tc>
      </w:tr>
      <w:tr w:rsidR="00B93084" w14:paraId="4F691F7D" w14:textId="77777777" w:rsidTr="3FA0AAEC">
        <w:tc>
          <w:tcPr>
            <w:tcW w:w="2760" w:type="dxa"/>
            <w:shd w:val="clear" w:color="auto" w:fill="auto"/>
            <w:tcMar>
              <w:top w:w="100" w:type="dxa"/>
              <w:left w:w="100" w:type="dxa"/>
              <w:bottom w:w="100" w:type="dxa"/>
              <w:right w:w="100" w:type="dxa"/>
            </w:tcMar>
          </w:tcPr>
          <w:p w14:paraId="00000028" w14:textId="77777777" w:rsidR="00B9308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or more authors</w:t>
            </w:r>
          </w:p>
        </w:tc>
        <w:tc>
          <w:tcPr>
            <w:tcW w:w="6600" w:type="dxa"/>
            <w:shd w:val="clear" w:color="auto" w:fill="auto"/>
            <w:tcMar>
              <w:top w:w="100" w:type="dxa"/>
              <w:left w:w="100" w:type="dxa"/>
              <w:bottom w:w="100" w:type="dxa"/>
              <w:right w:w="100" w:type="dxa"/>
            </w:tcMar>
          </w:tcPr>
          <w:p w14:paraId="00000029" w14:textId="77777777" w:rsidR="00B93084" w:rsidRDefault="00000000">
            <w:pPr>
              <w:widowControl w:val="0"/>
              <w:spacing w:line="240" w:lineRule="auto"/>
              <w:rPr>
                <w:rFonts w:ascii="Times New Roman" w:eastAsia="Times New Roman" w:hAnsi="Times New Roman" w:cs="Times New Roman"/>
                <w:b/>
                <w:color w:val="741B47"/>
                <w:sz w:val="24"/>
                <w:szCs w:val="24"/>
              </w:rPr>
            </w:pPr>
            <w:r>
              <w:rPr>
                <w:rFonts w:ascii="Times New Roman" w:eastAsia="Times New Roman" w:hAnsi="Times New Roman" w:cs="Times New Roman"/>
                <w:b/>
                <w:color w:val="741B47"/>
                <w:sz w:val="24"/>
                <w:szCs w:val="24"/>
              </w:rPr>
              <w:t xml:space="preserve">Alexander et al. (2018) </w:t>
            </w:r>
          </w:p>
        </w:tc>
      </w:tr>
      <w:tr w:rsidR="00B93084" w14:paraId="24B20447" w14:textId="77777777" w:rsidTr="3FA0AAEC">
        <w:tc>
          <w:tcPr>
            <w:tcW w:w="2760" w:type="dxa"/>
            <w:shd w:val="clear" w:color="auto" w:fill="auto"/>
            <w:tcMar>
              <w:top w:w="100" w:type="dxa"/>
              <w:left w:w="100" w:type="dxa"/>
              <w:bottom w:w="100" w:type="dxa"/>
              <w:right w:w="100" w:type="dxa"/>
            </w:tcMar>
          </w:tcPr>
          <w:p w14:paraId="0000002A"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Adding more than one in-text citation together </w:t>
            </w:r>
          </w:p>
        </w:tc>
        <w:tc>
          <w:tcPr>
            <w:tcW w:w="6600" w:type="dxa"/>
            <w:shd w:val="clear" w:color="auto" w:fill="auto"/>
            <w:tcMar>
              <w:top w:w="100" w:type="dxa"/>
              <w:left w:w="100" w:type="dxa"/>
              <w:bottom w:w="100" w:type="dxa"/>
              <w:right w:w="100" w:type="dxa"/>
            </w:tcMar>
          </w:tcPr>
          <w:p w14:paraId="0000002B" w14:textId="77777777" w:rsidR="00B93084"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et al. (2018) and Anderson (2020) shared...</w:t>
            </w:r>
          </w:p>
        </w:tc>
      </w:tr>
      <w:tr w:rsidR="00B93084" w14:paraId="2CBB59E2" w14:textId="77777777" w:rsidTr="3FA0AAEC">
        <w:tc>
          <w:tcPr>
            <w:tcW w:w="2760" w:type="dxa"/>
            <w:shd w:val="clear" w:color="auto" w:fill="auto"/>
            <w:tcMar>
              <w:top w:w="100" w:type="dxa"/>
              <w:left w:w="100" w:type="dxa"/>
              <w:bottom w:w="100" w:type="dxa"/>
              <w:right w:w="100" w:type="dxa"/>
            </w:tcMar>
          </w:tcPr>
          <w:p w14:paraId="0000002C" w14:textId="77777777" w:rsidR="00B9308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Citation when a quote is present in the sentence</w:t>
            </w:r>
          </w:p>
        </w:tc>
        <w:tc>
          <w:tcPr>
            <w:tcW w:w="6600" w:type="dxa"/>
            <w:shd w:val="clear" w:color="auto" w:fill="auto"/>
            <w:tcMar>
              <w:top w:w="100" w:type="dxa"/>
              <w:left w:w="100" w:type="dxa"/>
              <w:bottom w:w="100" w:type="dxa"/>
              <w:right w:w="100" w:type="dxa"/>
            </w:tcMar>
          </w:tcPr>
          <w:p w14:paraId="0000002D" w14:textId="77777777" w:rsidR="00B93084" w:rsidRDefault="00000000">
            <w:pPr>
              <w:widowControl w:val="0"/>
              <w:spacing w:line="240" w:lineRule="auto"/>
              <w:rPr>
                <w:rFonts w:ascii="Times New Roman" w:eastAsia="Times New Roman" w:hAnsi="Times New Roman" w:cs="Times New Roman"/>
                <w:b/>
                <w:color w:val="351C75"/>
                <w:sz w:val="24"/>
                <w:szCs w:val="24"/>
              </w:rPr>
            </w:pPr>
            <w:r>
              <w:rPr>
                <w:rFonts w:ascii="Times New Roman" w:eastAsia="Times New Roman" w:hAnsi="Times New Roman" w:cs="Times New Roman"/>
                <w:sz w:val="24"/>
                <w:szCs w:val="24"/>
              </w:rPr>
              <w:t xml:space="preserve">Alexander et al. (2018) </w:t>
            </w:r>
            <w:r>
              <w:rPr>
                <w:rFonts w:ascii="Times New Roman" w:eastAsia="Times New Roman" w:hAnsi="Times New Roman" w:cs="Times New Roman"/>
                <w:b/>
                <w:color w:val="351C75"/>
                <w:sz w:val="24"/>
                <w:szCs w:val="24"/>
              </w:rPr>
              <w:t>noted</w:t>
            </w:r>
            <w:proofErr w:type="gramStart"/>
            <w:r>
              <w:rPr>
                <w:rFonts w:ascii="Times New Roman" w:eastAsia="Times New Roman" w:hAnsi="Times New Roman" w:cs="Times New Roman"/>
                <w:b/>
                <w:color w:val="351C75"/>
                <w:sz w:val="24"/>
                <w:szCs w:val="24"/>
              </w:rPr>
              <w:t>…[</w:t>
            </w:r>
            <w:proofErr w:type="gramEnd"/>
            <w:r>
              <w:rPr>
                <w:rFonts w:ascii="Times New Roman" w:eastAsia="Times New Roman" w:hAnsi="Times New Roman" w:cs="Times New Roman"/>
                <w:b/>
                <w:color w:val="351C75"/>
                <w:sz w:val="24"/>
                <w:szCs w:val="24"/>
              </w:rPr>
              <w:t>insert text + quote] (p. 34).</w:t>
            </w:r>
          </w:p>
          <w:p w14:paraId="0000002E" w14:textId="77777777" w:rsidR="00B93084" w:rsidRDefault="00000000">
            <w:pPr>
              <w:widowControl w:val="0"/>
              <w:spacing w:line="240" w:lineRule="auto"/>
              <w:rPr>
                <w:rFonts w:ascii="Times New Roman" w:eastAsia="Times New Roman" w:hAnsi="Times New Roman" w:cs="Times New Roman"/>
                <w:b/>
                <w:color w:val="B45F06"/>
                <w:sz w:val="24"/>
                <w:szCs w:val="24"/>
              </w:rPr>
            </w:pPr>
            <w:r>
              <w:rPr>
                <w:rFonts w:ascii="Times New Roman" w:eastAsia="Times New Roman" w:hAnsi="Times New Roman" w:cs="Times New Roman"/>
                <w:sz w:val="24"/>
                <w:szCs w:val="24"/>
              </w:rPr>
              <w:t>Alexander et al. (2018) noted</w:t>
            </w:r>
            <w:proofErr w:type="gramStart"/>
            <w:r>
              <w:rPr>
                <w:rFonts w:ascii="Times New Roman" w:eastAsia="Times New Roman" w:hAnsi="Times New Roman" w:cs="Times New Roman"/>
                <w:sz w:val="24"/>
                <w:szCs w:val="24"/>
              </w:rPr>
              <w:t>…</w:t>
            </w:r>
            <w:r>
              <w:rPr>
                <w:rFonts w:ascii="Times New Roman" w:eastAsia="Times New Roman" w:hAnsi="Times New Roman" w:cs="Times New Roman"/>
                <w:b/>
                <w:color w:val="B45F06"/>
                <w:sz w:val="24"/>
                <w:szCs w:val="24"/>
              </w:rPr>
              <w:t>[</w:t>
            </w:r>
            <w:proofErr w:type="gramEnd"/>
            <w:r>
              <w:rPr>
                <w:rFonts w:ascii="Times New Roman" w:eastAsia="Times New Roman" w:hAnsi="Times New Roman" w:cs="Times New Roman"/>
                <w:b/>
                <w:color w:val="B45F06"/>
                <w:sz w:val="24"/>
                <w:szCs w:val="24"/>
              </w:rPr>
              <w:t>insert text + quote] (pp. 34-56).</w:t>
            </w:r>
          </w:p>
          <w:p w14:paraId="00000031" w14:textId="478087E7" w:rsidR="00B93084" w:rsidRDefault="3FA0AAEC">
            <w:pPr>
              <w:widowControl w:val="0"/>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Alexander et al. (2018) noted</w:t>
            </w:r>
            <w:proofErr w:type="gramStart"/>
            <w:r w:rsidRPr="3FA0AAEC">
              <w:rPr>
                <w:rFonts w:ascii="Times New Roman" w:eastAsia="Times New Roman" w:hAnsi="Times New Roman" w:cs="Times New Roman"/>
                <w:sz w:val="24"/>
                <w:szCs w:val="24"/>
              </w:rPr>
              <w:t>…[</w:t>
            </w:r>
            <w:proofErr w:type="gramEnd"/>
            <w:r w:rsidRPr="3FA0AAEC">
              <w:rPr>
                <w:rFonts w:ascii="Times New Roman" w:eastAsia="Times New Roman" w:hAnsi="Times New Roman" w:cs="Times New Roman"/>
                <w:sz w:val="24"/>
                <w:szCs w:val="24"/>
              </w:rPr>
              <w:t xml:space="preserve">insert text + quote] (para. 1). </w:t>
            </w:r>
          </w:p>
        </w:tc>
      </w:tr>
    </w:tbl>
    <w:p w14:paraId="00000033" w14:textId="71C66D02" w:rsidR="00B93084" w:rsidRDefault="3FA0AAEC" w:rsidP="3FA0AAEC">
      <w:pPr>
        <w:pStyle w:val="Heading3"/>
        <w:rPr>
          <w:rFonts w:ascii="Times New Roman" w:eastAsia="Times New Roman" w:hAnsi="Times New Roman" w:cs="Times New Roman"/>
          <w:bCs/>
          <w:sz w:val="24"/>
          <w:szCs w:val="24"/>
        </w:rPr>
      </w:pPr>
      <w:bookmarkStart w:id="6" w:name="_iwmptombxdp3"/>
      <w:bookmarkEnd w:id="6"/>
      <w:r>
        <w:t>Examples</w:t>
      </w:r>
    </w:p>
    <w:p w14:paraId="5A7F724C" w14:textId="6B95F6EF" w:rsidR="7EA4E89E" w:rsidRDefault="7EA4E89E" w:rsidP="3FA0AAEC">
      <w:pPr>
        <w:spacing w:before="240" w:after="240"/>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 xml:space="preserve">According to the </w:t>
      </w:r>
      <w:r w:rsidRPr="3FA0AAEC">
        <w:rPr>
          <w:rFonts w:ascii="Times New Roman" w:eastAsia="Times New Roman" w:hAnsi="Times New Roman" w:cs="Times New Roman"/>
          <w:b/>
          <w:bCs/>
          <w:color w:val="38761D"/>
          <w:sz w:val="24"/>
          <w:szCs w:val="24"/>
        </w:rPr>
        <w:t>National Research Council (2012)</w:t>
      </w:r>
      <w:r w:rsidRPr="3FA0AAEC">
        <w:rPr>
          <w:rFonts w:ascii="Times New Roman" w:eastAsia="Times New Roman" w:hAnsi="Times New Roman" w:cs="Times New Roman"/>
          <w:sz w:val="24"/>
          <w:szCs w:val="24"/>
        </w:rPr>
        <w:t>, a Framework for K-12 Science Education has outlined three dimensions of learning.</w:t>
      </w:r>
    </w:p>
    <w:p w14:paraId="00000034" w14:textId="77777777" w:rsidR="00B93084"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Pr>
          <w:rFonts w:ascii="Times New Roman" w:eastAsia="Times New Roman" w:hAnsi="Times New Roman" w:cs="Times New Roman"/>
          <w:b/>
          <w:color w:val="741B47"/>
          <w:sz w:val="24"/>
          <w:szCs w:val="24"/>
        </w:rPr>
        <w:t>Chen et al. (2002)</w:t>
      </w:r>
      <w:r>
        <w:rPr>
          <w:rFonts w:ascii="Times New Roman" w:eastAsia="Times New Roman" w:hAnsi="Times New Roman" w:cs="Times New Roman"/>
          <w:color w:val="741B47"/>
          <w:sz w:val="24"/>
          <w:szCs w:val="24"/>
        </w:rPr>
        <w:t>,</w:t>
      </w:r>
      <w:r>
        <w:rPr>
          <w:rFonts w:ascii="Times New Roman" w:eastAsia="Times New Roman" w:hAnsi="Times New Roman" w:cs="Times New Roman"/>
          <w:sz w:val="24"/>
          <w:szCs w:val="24"/>
        </w:rPr>
        <w:t xml:space="preserve"> there are two specific things that my organization is involved in regarding increasing value share—investment opportunities or expansion and acquisition/merger.</w:t>
      </w:r>
    </w:p>
    <w:p w14:paraId="00000035" w14:textId="77777777" w:rsidR="00B93084"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1155CC"/>
          <w:sz w:val="24"/>
          <w:szCs w:val="24"/>
        </w:rPr>
        <w:t>Alexander and Anderson (2018)</w:t>
      </w:r>
      <w:r>
        <w:rPr>
          <w:rFonts w:ascii="Times New Roman" w:eastAsia="Times New Roman" w:hAnsi="Times New Roman" w:cs="Times New Roman"/>
          <w:sz w:val="24"/>
          <w:szCs w:val="24"/>
        </w:rPr>
        <w:t xml:space="preserve"> noted that 100% of the students in the physical education class could do at least five consecutive push-ups after seven days of daily practice. One student shared “I was so proud of myself after completing five push-ups” (p. 34).  </w:t>
      </w:r>
    </w:p>
    <w:p w14:paraId="1348A016" w14:textId="059F41A8" w:rsidR="00B93084" w:rsidRDefault="3FA0AAEC" w:rsidP="3FA0AAEC">
      <w:pPr>
        <w:spacing w:before="240" w:after="240"/>
        <w:rPr>
          <w:rFonts w:ascii="Times New Roman" w:eastAsia="Times New Roman" w:hAnsi="Times New Roman" w:cs="Times New Roman"/>
          <w:b/>
          <w:bCs/>
          <w:color w:val="351C75"/>
          <w:sz w:val="24"/>
          <w:szCs w:val="24"/>
        </w:rPr>
      </w:pPr>
      <w:r w:rsidRPr="3FA0AAEC">
        <w:rPr>
          <w:rFonts w:ascii="Times New Roman" w:eastAsia="Times New Roman" w:hAnsi="Times New Roman" w:cs="Times New Roman"/>
          <w:b/>
          <w:bCs/>
          <w:color w:val="38761D"/>
          <w:sz w:val="24"/>
          <w:szCs w:val="24"/>
        </w:rPr>
        <w:t>Spears (2004)</w:t>
      </w:r>
      <w:r w:rsidRPr="3FA0AAEC">
        <w:rPr>
          <w:rFonts w:ascii="Times New Roman" w:eastAsia="Times New Roman" w:hAnsi="Times New Roman" w:cs="Times New Roman"/>
          <w:sz w:val="24"/>
          <w:szCs w:val="24"/>
        </w:rPr>
        <w:t xml:space="preserve"> simply says that foresight is "the ability to foresee the likely outcome of a situation, and that it is a characteristic that enables the servant leader to understand the lessons from the past, the realities of the present, and the likely consequences of a decision for the </w:t>
      </w:r>
      <w:r w:rsidRPr="3FA0AAEC">
        <w:rPr>
          <w:rFonts w:ascii="Times New Roman" w:eastAsia="Times New Roman" w:hAnsi="Times New Roman" w:cs="Times New Roman"/>
          <w:b/>
          <w:bCs/>
          <w:color w:val="351C75"/>
          <w:sz w:val="24"/>
          <w:szCs w:val="24"/>
        </w:rPr>
        <w:t xml:space="preserve">future" (p. 19). </w:t>
      </w:r>
    </w:p>
    <w:p w14:paraId="00000037" w14:textId="1F841CBA" w:rsidR="00B93084" w:rsidRDefault="3FA0AAEC" w:rsidP="3FA0AAEC">
      <w:pPr>
        <w:spacing w:before="240" w:after="240"/>
        <w:rPr>
          <w:rFonts w:ascii="Times New Roman" w:eastAsia="Times New Roman" w:hAnsi="Times New Roman" w:cs="Times New Roman"/>
          <w:b/>
          <w:bCs/>
          <w:color w:val="351C75"/>
          <w:sz w:val="24"/>
          <w:szCs w:val="24"/>
        </w:rPr>
      </w:pPr>
      <w:r w:rsidRPr="3FA0AAEC">
        <w:rPr>
          <w:rFonts w:ascii="Times New Roman" w:eastAsia="Times New Roman" w:hAnsi="Times New Roman" w:cs="Times New Roman"/>
          <w:b/>
          <w:bCs/>
          <w:color w:val="38761D"/>
          <w:sz w:val="24"/>
          <w:szCs w:val="24"/>
        </w:rPr>
        <w:t>Spears (2004),</w:t>
      </w:r>
      <w:r w:rsidRPr="3FA0AAEC">
        <w:rPr>
          <w:rFonts w:ascii="Times New Roman" w:eastAsia="Times New Roman" w:hAnsi="Times New Roman" w:cs="Times New Roman"/>
          <w:sz w:val="24"/>
          <w:szCs w:val="24"/>
        </w:rPr>
        <w:t xml:space="preserve"> in his contribution to the book </w:t>
      </w:r>
      <w:r w:rsidRPr="3FA0AAEC">
        <w:rPr>
          <w:rFonts w:ascii="Times New Roman" w:eastAsia="Times New Roman" w:hAnsi="Times New Roman" w:cs="Times New Roman"/>
          <w:i/>
          <w:iCs/>
          <w:sz w:val="24"/>
          <w:szCs w:val="24"/>
        </w:rPr>
        <w:t>Practicing Servant-Leadership: Succeeding Through Trust, Bravery, and Forgiveness</w:t>
      </w:r>
      <w:r w:rsidRPr="3FA0AAEC">
        <w:rPr>
          <w:rFonts w:ascii="Times New Roman" w:eastAsia="Times New Roman" w:hAnsi="Times New Roman" w:cs="Times New Roman"/>
          <w:sz w:val="24"/>
          <w:szCs w:val="24"/>
        </w:rPr>
        <w:t xml:space="preserve">, asked servant-leaders to "seek to nurture their abilities to 'dream great dreams.' Conceptualization is the ability to look at a problem (or an organization) from a conceptualizing perspective meaning that one must think beyond day-to-day realities" </w:t>
      </w:r>
      <w:r w:rsidRPr="3FA0AAEC">
        <w:rPr>
          <w:rFonts w:ascii="Times New Roman" w:eastAsia="Times New Roman" w:hAnsi="Times New Roman" w:cs="Times New Roman"/>
          <w:b/>
          <w:bCs/>
          <w:color w:val="B45F06"/>
          <w:sz w:val="24"/>
          <w:szCs w:val="24"/>
        </w:rPr>
        <w:t>(pp. 10–11).</w:t>
      </w:r>
    </w:p>
    <w:p w14:paraId="041B3A9E" w14:textId="05D79EBE" w:rsidR="3FA0AAEC" w:rsidRDefault="3FA0AAEC">
      <w:bookmarkStart w:id="7" w:name="htuj87d4vedb" w:colFirst="0" w:colLast="0"/>
      <w:bookmarkEnd w:id="7"/>
      <w:r>
        <w:br w:type="page"/>
      </w:r>
    </w:p>
    <w:p w14:paraId="3A55D976" w14:textId="70B758F3" w:rsidR="3FA0AAEC" w:rsidRDefault="3FA0AAEC" w:rsidP="3FA0AAEC">
      <w:pPr>
        <w:spacing w:before="240" w:after="240"/>
        <w:rPr>
          <w:rFonts w:ascii="Times New Roman" w:eastAsia="Times New Roman" w:hAnsi="Times New Roman" w:cs="Times New Roman"/>
          <w:b/>
          <w:bCs/>
          <w:color w:val="B45F06"/>
          <w:sz w:val="24"/>
          <w:szCs w:val="24"/>
        </w:rPr>
      </w:pPr>
    </w:p>
    <w:p w14:paraId="00000038" w14:textId="77777777" w:rsidR="00B93084" w:rsidRDefault="00000000">
      <w:pPr>
        <w:pStyle w:val="Heading2"/>
        <w:spacing w:before="240" w:after="240"/>
      </w:pPr>
      <w:bookmarkStart w:id="8" w:name="_p1lz0uxye2i1" w:colFirst="0" w:colLast="0"/>
      <w:bookmarkEnd w:id="8"/>
      <w:r>
        <w:t>References Cited</w:t>
      </w:r>
    </w:p>
    <w:p w14:paraId="00000039" w14:textId="77777777" w:rsidR="00B93084" w:rsidRDefault="00000000">
      <w:pPr>
        <w:pStyle w:val="Heading3"/>
      </w:pPr>
      <w:bookmarkStart w:id="9" w:name="_c5lzje44axg" w:colFirst="0" w:colLast="0"/>
      <w:bookmarkEnd w:id="9"/>
      <w:r>
        <w:t>Reference Formats</w:t>
      </w:r>
    </w:p>
    <w:p w14:paraId="0000003A" w14:textId="77777777" w:rsidR="00B93084" w:rsidRDefault="00B93084">
      <w:pPr>
        <w:rPr>
          <w:rFonts w:ascii="Times New Roman" w:eastAsia="Times New Roman" w:hAnsi="Times New Roman" w:cs="Times New Roman"/>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93084" w14:paraId="1A822E18" w14:textId="77777777" w:rsidTr="3FA0AAEC">
        <w:tc>
          <w:tcPr>
            <w:tcW w:w="9360" w:type="dxa"/>
            <w:shd w:val="clear" w:color="auto" w:fill="auto"/>
            <w:tcMar>
              <w:top w:w="100" w:type="dxa"/>
              <w:left w:w="100" w:type="dxa"/>
              <w:bottom w:w="100" w:type="dxa"/>
              <w:right w:w="100" w:type="dxa"/>
            </w:tcMar>
          </w:tcPr>
          <w:p w14:paraId="0000003B" w14:textId="77777777" w:rsidR="00B93084"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Formats</w:t>
            </w:r>
          </w:p>
          <w:p w14:paraId="0000003C" w14:textId="77777777" w:rsidR="00B93084" w:rsidRDefault="00B9308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0000003D" w14:textId="77777777" w:rsidR="00B930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(Date). Title of the article. </w:t>
            </w:r>
            <w:r>
              <w:rPr>
                <w:rFonts w:ascii="Times New Roman" w:eastAsia="Times New Roman" w:hAnsi="Times New Roman" w:cs="Times New Roman"/>
                <w:i/>
                <w:sz w:val="24"/>
                <w:szCs w:val="24"/>
              </w:rPr>
              <w:t>Title of Periodical, 34</w:t>
            </w:r>
            <w:r>
              <w:rPr>
                <w:rFonts w:ascii="Times New Roman" w:eastAsia="Times New Roman" w:hAnsi="Times New Roman" w:cs="Times New Roman"/>
                <w:sz w:val="24"/>
                <w:szCs w:val="24"/>
              </w:rPr>
              <w:t>(2), 5-14. https://doi.org/xxxx</w:t>
            </w:r>
          </w:p>
          <w:p w14:paraId="0000003E" w14:textId="77777777" w:rsidR="00B930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(Date). Title of the article. </w:t>
            </w:r>
            <w:r>
              <w:rPr>
                <w:rFonts w:ascii="Times New Roman" w:eastAsia="Times New Roman" w:hAnsi="Times New Roman" w:cs="Times New Roman"/>
                <w:i/>
                <w:sz w:val="24"/>
                <w:szCs w:val="24"/>
              </w:rPr>
              <w:t>Title of Periodical, 34</w:t>
            </w:r>
            <w:r>
              <w:rPr>
                <w:rFonts w:ascii="Times New Roman" w:eastAsia="Times New Roman" w:hAnsi="Times New Roman" w:cs="Times New Roman"/>
                <w:sz w:val="24"/>
                <w:szCs w:val="24"/>
              </w:rPr>
              <w:t>(2), 5-14. https://xxxx</w:t>
            </w:r>
          </w:p>
          <w:p w14:paraId="0000003F" w14:textId="77777777" w:rsidR="00B930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(Date). </w:t>
            </w:r>
            <w:r>
              <w:rPr>
                <w:rFonts w:ascii="Times New Roman" w:eastAsia="Times New Roman" w:hAnsi="Times New Roman" w:cs="Times New Roman"/>
                <w:i/>
                <w:sz w:val="24"/>
                <w:szCs w:val="24"/>
              </w:rPr>
              <w:t xml:space="preserve">Title of book. </w:t>
            </w:r>
            <w:r>
              <w:rPr>
                <w:rFonts w:ascii="Times New Roman" w:eastAsia="Times New Roman" w:hAnsi="Times New Roman" w:cs="Times New Roman"/>
                <w:sz w:val="24"/>
                <w:szCs w:val="24"/>
              </w:rPr>
              <w:t>Publisher Name. http://doi.org/xxxx</w:t>
            </w:r>
          </w:p>
          <w:p w14:paraId="00000040" w14:textId="77777777" w:rsidR="00B930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(Date). </w:t>
            </w:r>
            <w:r>
              <w:rPr>
                <w:rFonts w:ascii="Times New Roman" w:eastAsia="Times New Roman" w:hAnsi="Times New Roman" w:cs="Times New Roman"/>
                <w:i/>
                <w:sz w:val="24"/>
                <w:szCs w:val="24"/>
              </w:rPr>
              <w:t>Title of book.</w:t>
            </w:r>
            <w:r>
              <w:rPr>
                <w:rFonts w:ascii="Times New Roman" w:eastAsia="Times New Roman" w:hAnsi="Times New Roman" w:cs="Times New Roman"/>
                <w:sz w:val="24"/>
                <w:szCs w:val="24"/>
              </w:rPr>
              <w:t xml:space="preserve"> Publisher Name. </w:t>
            </w:r>
          </w:p>
          <w:p w14:paraId="00000041" w14:textId="77777777" w:rsidR="00B930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(Date). Title of the blog post. </w:t>
            </w:r>
            <w:r>
              <w:rPr>
                <w:rFonts w:ascii="Times New Roman" w:eastAsia="Times New Roman" w:hAnsi="Times New Roman" w:cs="Times New Roman"/>
                <w:i/>
                <w:sz w:val="24"/>
                <w:szCs w:val="24"/>
              </w:rPr>
              <w:t>Website Name.</w:t>
            </w:r>
            <w:r>
              <w:rPr>
                <w:rFonts w:ascii="Times New Roman" w:eastAsia="Times New Roman" w:hAnsi="Times New Roman" w:cs="Times New Roman"/>
                <w:sz w:val="24"/>
                <w:szCs w:val="24"/>
              </w:rPr>
              <w:t xml:space="preserve"> https://xxxx</w:t>
            </w:r>
          </w:p>
          <w:p w14:paraId="00000042" w14:textId="77777777" w:rsidR="00B930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(Date). </w:t>
            </w:r>
            <w:r>
              <w:rPr>
                <w:rFonts w:ascii="Times New Roman" w:eastAsia="Times New Roman" w:hAnsi="Times New Roman" w:cs="Times New Roman"/>
                <w:i/>
                <w:sz w:val="24"/>
                <w:szCs w:val="24"/>
              </w:rPr>
              <w:t xml:space="preserve">Title of the master thesis </w:t>
            </w:r>
            <w:r>
              <w:rPr>
                <w:rFonts w:ascii="Times New Roman" w:eastAsia="Times New Roman" w:hAnsi="Times New Roman" w:cs="Times New Roman"/>
                <w:sz w:val="24"/>
                <w:szCs w:val="24"/>
              </w:rPr>
              <w:t>[Master’s thesis, Name of Institution Awarding the Degree]. Database Name. https://xxxx</w:t>
            </w:r>
          </w:p>
        </w:tc>
      </w:tr>
      <w:tr w:rsidR="00B93084" w14:paraId="405D8CD5" w14:textId="77777777" w:rsidTr="3FA0AAEC">
        <w:tc>
          <w:tcPr>
            <w:tcW w:w="9360" w:type="dxa"/>
            <w:shd w:val="clear" w:color="auto" w:fill="auto"/>
            <w:tcMar>
              <w:top w:w="100" w:type="dxa"/>
              <w:left w:w="100" w:type="dxa"/>
              <w:bottom w:w="100" w:type="dxa"/>
              <w:right w:w="100" w:type="dxa"/>
            </w:tcMar>
          </w:tcPr>
          <w:p w14:paraId="5A8958CB" w14:textId="2A3C084D" w:rsidR="00B93084" w:rsidRDefault="06C78976" w:rsidP="3FA0AAEC">
            <w:pPr>
              <w:spacing w:line="240" w:lineRule="auto"/>
              <w:rPr>
                <w:rFonts w:ascii="Times New Roman" w:eastAsia="Times New Roman" w:hAnsi="Times New Roman" w:cs="Times New Roman"/>
                <w:b/>
                <w:bCs/>
                <w:sz w:val="24"/>
                <w:szCs w:val="24"/>
              </w:rPr>
            </w:pPr>
            <w:r w:rsidRPr="3FA0AAEC">
              <w:rPr>
                <w:rFonts w:ascii="Times New Roman" w:eastAsia="Times New Roman" w:hAnsi="Times New Roman" w:cs="Times New Roman"/>
                <w:b/>
                <w:bCs/>
                <w:sz w:val="24"/>
                <w:szCs w:val="24"/>
              </w:rPr>
              <w:t>Examples included below the table</w:t>
            </w:r>
          </w:p>
          <w:p w14:paraId="100CBD0C" w14:textId="5E544390" w:rsidR="00B93084" w:rsidRDefault="00B93084" w:rsidP="3FA0AAEC">
            <w:pPr>
              <w:spacing w:line="240" w:lineRule="auto"/>
              <w:rPr>
                <w:rFonts w:ascii="Times New Roman" w:eastAsia="Times New Roman" w:hAnsi="Times New Roman" w:cs="Times New Roman"/>
                <w:b/>
                <w:bCs/>
                <w:sz w:val="24"/>
                <w:szCs w:val="24"/>
              </w:rPr>
            </w:pPr>
          </w:p>
          <w:p w14:paraId="0E5E2B48" w14:textId="2A167E82" w:rsidR="00B93084" w:rsidRDefault="06C78976" w:rsidP="3FA0AAEC">
            <w:pPr>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Journal article with DOI</w:t>
            </w:r>
          </w:p>
          <w:p w14:paraId="76651B37" w14:textId="2BDCD99F" w:rsidR="00B93084" w:rsidRDefault="06C78976" w:rsidP="3FA0AAEC">
            <w:pPr>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 xml:space="preserve">Journal article without a DOI, with a </w:t>
            </w:r>
            <w:proofErr w:type="spellStart"/>
            <w:r w:rsidRPr="3FA0AAEC">
              <w:rPr>
                <w:rFonts w:ascii="Times New Roman" w:eastAsia="Times New Roman" w:hAnsi="Times New Roman" w:cs="Times New Roman"/>
                <w:sz w:val="24"/>
                <w:szCs w:val="24"/>
              </w:rPr>
              <w:t>nondatabase</w:t>
            </w:r>
            <w:proofErr w:type="spellEnd"/>
            <w:r w:rsidRPr="3FA0AAEC">
              <w:rPr>
                <w:rFonts w:ascii="Times New Roman" w:eastAsia="Times New Roman" w:hAnsi="Times New Roman" w:cs="Times New Roman"/>
                <w:sz w:val="24"/>
                <w:szCs w:val="24"/>
              </w:rPr>
              <w:t xml:space="preserve"> URL</w:t>
            </w:r>
          </w:p>
          <w:p w14:paraId="77835F8A" w14:textId="76E15D55" w:rsidR="00B93084" w:rsidRDefault="06C78976" w:rsidP="3FA0AAEC">
            <w:pPr>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Authored book with a DOI</w:t>
            </w:r>
          </w:p>
          <w:p w14:paraId="79C1BC51" w14:textId="64DE3DED" w:rsidR="00B93084" w:rsidRDefault="06C78976" w:rsidP="3FA0AAEC">
            <w:pPr>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Authored book without a DOI, from most academic research databases or print version</w:t>
            </w:r>
          </w:p>
          <w:p w14:paraId="47C1C20A" w14:textId="23A103A3" w:rsidR="00B93084" w:rsidRDefault="06C78976" w:rsidP="3FA0AAEC">
            <w:pPr>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Blog post</w:t>
            </w:r>
          </w:p>
          <w:p w14:paraId="3197FEF1" w14:textId="3124EA71" w:rsidR="00B93084" w:rsidRDefault="06C78976" w:rsidP="3FA0AAEC">
            <w:pPr>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Master’s thesis</w:t>
            </w:r>
          </w:p>
          <w:p w14:paraId="34B2A2B4" w14:textId="0A8C39FE" w:rsidR="00B93084" w:rsidRDefault="06C78976" w:rsidP="3FA0AAEC">
            <w:pPr>
              <w:spacing w:line="240" w:lineRule="auto"/>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Specific resources:</w:t>
            </w:r>
          </w:p>
          <w:p w14:paraId="7ABF9EDC" w14:textId="470375F2" w:rsidR="00B93084" w:rsidRDefault="06C78976" w:rsidP="3FA0AAEC">
            <w:pPr>
              <w:pStyle w:val="ListParagraph"/>
              <w:numPr>
                <w:ilvl w:val="0"/>
                <w:numId w:val="2"/>
              </w:numPr>
              <w:spacing w:line="240" w:lineRule="auto"/>
              <w:rPr>
                <w:b/>
                <w:bCs/>
                <w:sz w:val="24"/>
                <w:szCs w:val="24"/>
              </w:rPr>
            </w:pPr>
            <w:r w:rsidRPr="3FA0AAEC">
              <w:rPr>
                <w:rFonts w:ascii="Times New Roman" w:eastAsia="Times New Roman" w:hAnsi="Times New Roman" w:cs="Times New Roman"/>
                <w:sz w:val="24"/>
                <w:szCs w:val="24"/>
              </w:rPr>
              <w:t>National Research Council</w:t>
            </w:r>
          </w:p>
          <w:p w14:paraId="0000004A" w14:textId="42E7A062" w:rsidR="00B93084" w:rsidRDefault="06C78976" w:rsidP="3FA0AAEC">
            <w:pPr>
              <w:pStyle w:val="ListParagraph"/>
              <w:numPr>
                <w:ilvl w:val="0"/>
                <w:numId w:val="2"/>
              </w:numPr>
              <w:spacing w:line="240" w:lineRule="auto"/>
              <w:rPr>
                <w:b/>
                <w:bCs/>
                <w:sz w:val="24"/>
                <w:szCs w:val="24"/>
              </w:rPr>
            </w:pPr>
            <w:r w:rsidRPr="3FA0AAEC">
              <w:rPr>
                <w:rFonts w:ascii="Times New Roman" w:eastAsia="Times New Roman" w:hAnsi="Times New Roman" w:cs="Times New Roman"/>
                <w:sz w:val="24"/>
                <w:szCs w:val="24"/>
              </w:rPr>
              <w:t>Next Generation Science Standards</w:t>
            </w:r>
          </w:p>
        </w:tc>
      </w:tr>
    </w:tbl>
    <w:p w14:paraId="0000004B" w14:textId="77777777" w:rsidR="00B93084" w:rsidRDefault="00B93084">
      <w:pPr>
        <w:rPr>
          <w:rFonts w:ascii="Times New Roman" w:eastAsia="Times New Roman" w:hAnsi="Times New Roman" w:cs="Times New Roman"/>
          <w:sz w:val="24"/>
          <w:szCs w:val="24"/>
        </w:rPr>
      </w:pPr>
    </w:p>
    <w:p w14:paraId="0000004C" w14:textId="77777777" w:rsidR="00B93084" w:rsidRDefault="00B93084">
      <w:pPr>
        <w:rPr>
          <w:rFonts w:ascii="Times New Roman" w:eastAsia="Times New Roman" w:hAnsi="Times New Roman" w:cs="Times New Roman"/>
          <w:b/>
          <w:sz w:val="24"/>
          <w:szCs w:val="24"/>
        </w:rPr>
      </w:pPr>
    </w:p>
    <w:p w14:paraId="0000004D" w14:textId="77777777" w:rsidR="00B93084" w:rsidRDefault="00000000">
      <w:pPr>
        <w:rPr>
          <w:rFonts w:ascii="Times New Roman" w:eastAsia="Times New Roman" w:hAnsi="Times New Roman" w:cs="Times New Roman"/>
          <w:sz w:val="24"/>
          <w:szCs w:val="24"/>
        </w:rPr>
      </w:pPr>
      <w:bookmarkStart w:id="10" w:name="5rb77viraf2" w:colFirst="0" w:colLast="0"/>
      <w:bookmarkEnd w:id="10"/>
      <w:r>
        <w:rPr>
          <w:rFonts w:ascii="Times New Roman" w:eastAsia="Times New Roman" w:hAnsi="Times New Roman" w:cs="Times New Roman"/>
          <w:b/>
          <w:sz w:val="24"/>
          <w:szCs w:val="24"/>
        </w:rPr>
        <w:t>Journal article with a DOI</w:t>
      </w:r>
      <w:r>
        <w:rPr>
          <w:rFonts w:ascii="Times New Roman" w:eastAsia="Times New Roman" w:hAnsi="Times New Roman" w:cs="Times New Roman"/>
          <w:sz w:val="24"/>
          <w:szCs w:val="24"/>
        </w:rPr>
        <w:t xml:space="preserve"> [If it doesn’t have a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try putting the author’s name and title under </w:t>
      </w:r>
      <w:r>
        <w:rPr>
          <w:rFonts w:ascii="Times New Roman" w:eastAsia="Times New Roman" w:hAnsi="Times New Roman" w:cs="Times New Roman"/>
          <w:i/>
          <w:sz w:val="24"/>
          <w:szCs w:val="24"/>
        </w:rPr>
        <w:t xml:space="preserve">search on article title </w:t>
      </w:r>
      <w:r>
        <w:rPr>
          <w:rFonts w:ascii="Times New Roman" w:eastAsia="Times New Roman" w:hAnsi="Times New Roman" w:cs="Times New Roman"/>
          <w:sz w:val="24"/>
          <w:szCs w:val="24"/>
        </w:rPr>
        <w:t xml:space="preserve">on </w:t>
      </w:r>
      <w:hyperlink r:id="rId5">
        <w:r>
          <w:rPr>
            <w:rFonts w:ascii="Times New Roman" w:eastAsia="Times New Roman" w:hAnsi="Times New Roman" w:cs="Times New Roman"/>
            <w:color w:val="1155CC"/>
            <w:sz w:val="24"/>
            <w:szCs w:val="24"/>
            <w:u w:val="single"/>
          </w:rPr>
          <w:t>this webpage</w:t>
        </w:r>
      </w:hyperlink>
      <w:r>
        <w:rPr>
          <w:rFonts w:ascii="Times New Roman" w:eastAsia="Times New Roman" w:hAnsi="Times New Roman" w:cs="Times New Roman"/>
          <w:sz w:val="24"/>
          <w:szCs w:val="24"/>
        </w:rPr>
        <w:t xml:space="preserve"> to get the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p>
    <w:p w14:paraId="0000004E" w14:textId="77777777" w:rsidR="00B93084" w:rsidRDefault="00000000">
      <w:pPr>
        <w:numPr>
          <w:ilvl w:val="1"/>
          <w:numId w:val="6"/>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 author</w:t>
      </w:r>
    </w:p>
    <w:p w14:paraId="0000004F" w14:textId="77777777" w:rsidR="00B93084" w:rsidRDefault="00000000">
      <w:pPr>
        <w:numPr>
          <w:ilvl w:val="2"/>
          <w:numId w:val="6"/>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McCauley, S. M. (2019). Language learning as language use. A cross-linguistic model of child language development. </w:t>
      </w:r>
      <w:r>
        <w:rPr>
          <w:rFonts w:ascii="Times New Roman" w:eastAsia="Times New Roman" w:hAnsi="Times New Roman" w:cs="Times New Roman"/>
          <w:i/>
          <w:sz w:val="24"/>
          <w:szCs w:val="24"/>
        </w:rPr>
        <w:t>Psychology Review, 126</w:t>
      </w:r>
      <w:r>
        <w:rPr>
          <w:rFonts w:ascii="Times New Roman" w:eastAsia="Times New Roman" w:hAnsi="Times New Roman" w:cs="Times New Roman"/>
          <w:sz w:val="24"/>
          <w:szCs w:val="24"/>
        </w:rPr>
        <w:t>(1), 1-51. https://doi.org/10.1037/rev0000126</w:t>
      </w:r>
    </w:p>
    <w:p w14:paraId="00000050" w14:textId="77777777" w:rsidR="00B93084" w:rsidRDefault="00000000">
      <w:pPr>
        <w:numPr>
          <w:ilvl w:val="1"/>
          <w:numId w:val="6"/>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authors</w:t>
      </w:r>
    </w:p>
    <w:p w14:paraId="00000051" w14:textId="77777777" w:rsidR="00B93084" w:rsidRDefault="00000000">
      <w:pPr>
        <w:numPr>
          <w:ilvl w:val="2"/>
          <w:numId w:val="6"/>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McCauley, S. M., &amp; Christiansen, M. H. (2019). Language learning as language use. A cross-linguistic model of child language development. </w:t>
      </w:r>
      <w:r>
        <w:rPr>
          <w:rFonts w:ascii="Times New Roman" w:eastAsia="Times New Roman" w:hAnsi="Times New Roman" w:cs="Times New Roman"/>
          <w:i/>
          <w:sz w:val="24"/>
          <w:szCs w:val="24"/>
        </w:rPr>
        <w:t>Psychology Review, 126</w:t>
      </w:r>
      <w:r>
        <w:rPr>
          <w:rFonts w:ascii="Times New Roman" w:eastAsia="Times New Roman" w:hAnsi="Times New Roman" w:cs="Times New Roman"/>
          <w:sz w:val="24"/>
          <w:szCs w:val="24"/>
        </w:rPr>
        <w:t>(1), 1-51. https://doi.org/10.1037/rev0000126</w:t>
      </w:r>
    </w:p>
    <w:p w14:paraId="00000052" w14:textId="77777777" w:rsidR="00B93084" w:rsidRDefault="00000000">
      <w:pPr>
        <w:numPr>
          <w:ilvl w:val="1"/>
          <w:numId w:val="6"/>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authors</w:t>
      </w:r>
    </w:p>
    <w:p w14:paraId="00000053" w14:textId="77777777" w:rsidR="00B93084" w:rsidRDefault="00000000">
      <w:pPr>
        <w:numPr>
          <w:ilvl w:val="2"/>
          <w:numId w:val="6"/>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McCauley, S. M., Christiansen, M. H., &amp; Anderson, J. K. (2019). Language learning as language use. A cross-linguistic model of child language development. </w:t>
      </w:r>
      <w:r>
        <w:rPr>
          <w:rFonts w:ascii="Times New Roman" w:eastAsia="Times New Roman" w:hAnsi="Times New Roman" w:cs="Times New Roman"/>
          <w:i/>
          <w:sz w:val="24"/>
          <w:szCs w:val="24"/>
        </w:rPr>
        <w:t>Psychology Review, 126</w:t>
      </w:r>
      <w:r>
        <w:rPr>
          <w:rFonts w:ascii="Times New Roman" w:eastAsia="Times New Roman" w:hAnsi="Times New Roman" w:cs="Times New Roman"/>
          <w:sz w:val="24"/>
          <w:szCs w:val="24"/>
        </w:rPr>
        <w:t>(1), 1-51. https://doi.org/10.1037/rev0000126</w:t>
      </w:r>
    </w:p>
    <w:p w14:paraId="00000054" w14:textId="77777777" w:rsidR="00B93084" w:rsidRDefault="00000000">
      <w:pPr>
        <w:numPr>
          <w:ilvl w:val="1"/>
          <w:numId w:val="6"/>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 authors</w:t>
      </w:r>
    </w:p>
    <w:p w14:paraId="00000055" w14:textId="77777777" w:rsidR="00B93084" w:rsidRDefault="00000000">
      <w:pPr>
        <w:numPr>
          <w:ilvl w:val="2"/>
          <w:numId w:val="6"/>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McCauley, S. M., Christiansen, M. H., Anderson, J. K., &amp; Goldman, C. (2019). Language learning as language use. A cross-linguistic model of child language development. </w:t>
      </w:r>
      <w:r>
        <w:rPr>
          <w:rFonts w:ascii="Times New Roman" w:eastAsia="Times New Roman" w:hAnsi="Times New Roman" w:cs="Times New Roman"/>
          <w:i/>
          <w:sz w:val="24"/>
          <w:szCs w:val="24"/>
        </w:rPr>
        <w:t>Psychology Review, 126</w:t>
      </w:r>
      <w:r>
        <w:rPr>
          <w:rFonts w:ascii="Times New Roman" w:eastAsia="Times New Roman" w:hAnsi="Times New Roman" w:cs="Times New Roman"/>
          <w:sz w:val="24"/>
          <w:szCs w:val="24"/>
        </w:rPr>
        <w:t>(1), 1-51. https://doi.org/10.1037/rev0000126</w:t>
      </w:r>
    </w:p>
    <w:p w14:paraId="00000056" w14:textId="77777777" w:rsidR="00B93084" w:rsidRDefault="00B93084">
      <w:pPr>
        <w:ind w:left="2160"/>
        <w:rPr>
          <w:rFonts w:ascii="Times New Roman" w:eastAsia="Times New Roman" w:hAnsi="Times New Roman" w:cs="Times New Roman"/>
          <w:sz w:val="24"/>
          <w:szCs w:val="24"/>
        </w:rPr>
      </w:pPr>
    </w:p>
    <w:p w14:paraId="00000057" w14:textId="77777777" w:rsidR="00B93084" w:rsidRDefault="00000000">
      <w:pPr>
        <w:rPr>
          <w:rFonts w:ascii="Times New Roman" w:eastAsia="Times New Roman" w:hAnsi="Times New Roman" w:cs="Times New Roman"/>
          <w:b/>
          <w:sz w:val="24"/>
          <w:szCs w:val="24"/>
        </w:rPr>
      </w:pPr>
      <w:bookmarkStart w:id="11" w:name="wd53rvt5mf1g" w:colFirst="0" w:colLast="0"/>
      <w:bookmarkEnd w:id="11"/>
      <w:r>
        <w:rPr>
          <w:rFonts w:ascii="Times New Roman" w:eastAsia="Times New Roman" w:hAnsi="Times New Roman" w:cs="Times New Roman"/>
          <w:b/>
          <w:sz w:val="24"/>
          <w:szCs w:val="24"/>
        </w:rPr>
        <w:t xml:space="preserve">Journal article without a DOI, with a </w:t>
      </w:r>
      <w:proofErr w:type="spellStart"/>
      <w:r>
        <w:rPr>
          <w:rFonts w:ascii="Times New Roman" w:eastAsia="Times New Roman" w:hAnsi="Times New Roman" w:cs="Times New Roman"/>
          <w:b/>
          <w:sz w:val="24"/>
          <w:szCs w:val="24"/>
        </w:rPr>
        <w:t>nondatabase</w:t>
      </w:r>
      <w:proofErr w:type="spellEnd"/>
      <w:r>
        <w:rPr>
          <w:rFonts w:ascii="Times New Roman" w:eastAsia="Times New Roman" w:hAnsi="Times New Roman" w:cs="Times New Roman"/>
          <w:b/>
          <w:sz w:val="24"/>
          <w:szCs w:val="24"/>
        </w:rPr>
        <w:t xml:space="preserve"> URL</w:t>
      </w:r>
    </w:p>
    <w:p w14:paraId="00000058" w14:textId="77777777" w:rsidR="00B93084" w:rsidRDefault="00000000">
      <w:pPr>
        <w:numPr>
          <w:ilvl w:val="1"/>
          <w:numId w:val="6"/>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 Author</w:t>
      </w:r>
    </w:p>
    <w:p w14:paraId="00000059" w14:textId="77777777" w:rsidR="00B93084" w:rsidRDefault="00000000">
      <w:pPr>
        <w:numPr>
          <w:ilvl w:val="2"/>
          <w:numId w:val="6"/>
        </w:numPr>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Ahmann</w:t>
      </w:r>
      <w:proofErr w:type="spellEnd"/>
      <w:r>
        <w:rPr>
          <w:rFonts w:ascii="Times New Roman" w:eastAsia="Times New Roman" w:hAnsi="Times New Roman" w:cs="Times New Roman"/>
          <w:sz w:val="24"/>
          <w:szCs w:val="24"/>
        </w:rPr>
        <w:t xml:space="preserve">, E. (2018). A descriptive review of ADHD coaching research: Implications of college students. </w:t>
      </w:r>
      <w:r>
        <w:rPr>
          <w:rFonts w:ascii="Times New Roman" w:eastAsia="Times New Roman" w:hAnsi="Times New Roman" w:cs="Times New Roman"/>
          <w:i/>
          <w:sz w:val="24"/>
          <w:szCs w:val="24"/>
        </w:rPr>
        <w:t>Journal of Postsecondary Education and Disability, 31</w:t>
      </w:r>
      <w:r>
        <w:rPr>
          <w:rFonts w:ascii="Times New Roman" w:eastAsia="Times New Roman" w:hAnsi="Times New Roman" w:cs="Times New Roman"/>
          <w:sz w:val="24"/>
          <w:szCs w:val="24"/>
        </w:rPr>
        <w:t>(1), 17-39. https://www.ahead.org/professional-resources/publications/jped/archived-jped/jped-volume-31</w:t>
      </w:r>
    </w:p>
    <w:p w14:paraId="0000005A" w14:textId="77777777" w:rsidR="00B93084" w:rsidRDefault="00000000">
      <w:pPr>
        <w:numPr>
          <w:ilvl w:val="1"/>
          <w:numId w:val="6"/>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Authors</w:t>
      </w:r>
    </w:p>
    <w:p w14:paraId="0000005B" w14:textId="77777777" w:rsidR="00B93084" w:rsidRDefault="00000000">
      <w:pPr>
        <w:numPr>
          <w:ilvl w:val="2"/>
          <w:numId w:val="6"/>
        </w:numPr>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Ahmann</w:t>
      </w:r>
      <w:proofErr w:type="spellEnd"/>
      <w:r>
        <w:rPr>
          <w:rFonts w:ascii="Times New Roman" w:eastAsia="Times New Roman" w:hAnsi="Times New Roman" w:cs="Times New Roman"/>
          <w:sz w:val="24"/>
          <w:szCs w:val="24"/>
        </w:rPr>
        <w:t xml:space="preserve">, E., &amp; Wright, S. D. (2018). A descriptive review of ADHD coaching research: Implications of college students. </w:t>
      </w:r>
      <w:r>
        <w:rPr>
          <w:rFonts w:ascii="Times New Roman" w:eastAsia="Times New Roman" w:hAnsi="Times New Roman" w:cs="Times New Roman"/>
          <w:i/>
          <w:sz w:val="24"/>
          <w:szCs w:val="24"/>
        </w:rPr>
        <w:t>Journal of Postsecondary Education and Disability, 31</w:t>
      </w:r>
      <w:r>
        <w:rPr>
          <w:rFonts w:ascii="Times New Roman" w:eastAsia="Times New Roman" w:hAnsi="Times New Roman" w:cs="Times New Roman"/>
          <w:sz w:val="24"/>
          <w:szCs w:val="24"/>
        </w:rPr>
        <w:t>(1), 17-39. https://www.ahead.org/professional-resources/publications/jped/archived-jped/jped-volume-31</w:t>
      </w:r>
    </w:p>
    <w:p w14:paraId="0000005C" w14:textId="77777777" w:rsidR="00B93084" w:rsidRDefault="00000000">
      <w:pPr>
        <w:numPr>
          <w:ilvl w:val="1"/>
          <w:numId w:val="6"/>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Authors</w:t>
      </w:r>
    </w:p>
    <w:p w14:paraId="0000005D" w14:textId="77777777" w:rsidR="00B93084" w:rsidRDefault="00000000">
      <w:pPr>
        <w:numPr>
          <w:ilvl w:val="2"/>
          <w:numId w:val="6"/>
        </w:numPr>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Ahmann</w:t>
      </w:r>
      <w:proofErr w:type="spellEnd"/>
      <w:r>
        <w:rPr>
          <w:rFonts w:ascii="Times New Roman" w:eastAsia="Times New Roman" w:hAnsi="Times New Roman" w:cs="Times New Roman"/>
          <w:sz w:val="24"/>
          <w:szCs w:val="24"/>
        </w:rPr>
        <w:t xml:space="preserve">, E., Tuttle, L. J., &amp; Wright, S. D. (2018). A descriptive review of ADHD coaching research: Implications of college students. </w:t>
      </w:r>
      <w:r>
        <w:rPr>
          <w:rFonts w:ascii="Times New Roman" w:eastAsia="Times New Roman" w:hAnsi="Times New Roman" w:cs="Times New Roman"/>
          <w:i/>
          <w:sz w:val="24"/>
          <w:szCs w:val="24"/>
        </w:rPr>
        <w:t>Journal of Postsecondary Education and Disability, 31</w:t>
      </w:r>
      <w:r>
        <w:rPr>
          <w:rFonts w:ascii="Times New Roman" w:eastAsia="Times New Roman" w:hAnsi="Times New Roman" w:cs="Times New Roman"/>
          <w:sz w:val="24"/>
          <w:szCs w:val="24"/>
        </w:rPr>
        <w:t>(1), 17-39. https://www.ahead.org/professional-resources/publications/jped/archived-jped/jped-volume-31</w:t>
      </w:r>
    </w:p>
    <w:p w14:paraId="0000005E" w14:textId="77777777" w:rsidR="00B93084" w:rsidRDefault="00000000">
      <w:pPr>
        <w:numPr>
          <w:ilvl w:val="1"/>
          <w:numId w:val="6"/>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 Authors</w:t>
      </w:r>
    </w:p>
    <w:p w14:paraId="0000005F" w14:textId="77777777" w:rsidR="00B93084" w:rsidRDefault="00000000">
      <w:pPr>
        <w:numPr>
          <w:ilvl w:val="2"/>
          <w:numId w:val="6"/>
        </w:numPr>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Ahmann</w:t>
      </w:r>
      <w:proofErr w:type="spellEnd"/>
      <w:r>
        <w:rPr>
          <w:rFonts w:ascii="Times New Roman" w:eastAsia="Times New Roman" w:hAnsi="Times New Roman" w:cs="Times New Roman"/>
          <w:sz w:val="24"/>
          <w:szCs w:val="24"/>
        </w:rPr>
        <w:t xml:space="preserve">, E., Tuttle, L. J., </w:t>
      </w:r>
      <w:proofErr w:type="spellStart"/>
      <w:r>
        <w:rPr>
          <w:rFonts w:ascii="Times New Roman" w:eastAsia="Times New Roman" w:hAnsi="Times New Roman" w:cs="Times New Roman"/>
          <w:sz w:val="24"/>
          <w:szCs w:val="24"/>
        </w:rPr>
        <w:t>Saviet</w:t>
      </w:r>
      <w:proofErr w:type="spellEnd"/>
      <w:r>
        <w:rPr>
          <w:rFonts w:ascii="Times New Roman" w:eastAsia="Times New Roman" w:hAnsi="Times New Roman" w:cs="Times New Roman"/>
          <w:sz w:val="24"/>
          <w:szCs w:val="24"/>
        </w:rPr>
        <w:t xml:space="preserve">, M., &amp; Wright, S. D. (2018). A descriptive review of ADHD coaching research: Implications of college students. </w:t>
      </w:r>
      <w:r>
        <w:rPr>
          <w:rFonts w:ascii="Times New Roman" w:eastAsia="Times New Roman" w:hAnsi="Times New Roman" w:cs="Times New Roman"/>
          <w:i/>
          <w:sz w:val="24"/>
          <w:szCs w:val="24"/>
        </w:rPr>
        <w:t>Journal of Postsecondary Education and Disability, 31</w:t>
      </w:r>
      <w:r>
        <w:rPr>
          <w:rFonts w:ascii="Times New Roman" w:eastAsia="Times New Roman" w:hAnsi="Times New Roman" w:cs="Times New Roman"/>
          <w:sz w:val="24"/>
          <w:szCs w:val="24"/>
        </w:rPr>
        <w:t>(1), 17-39. https://www.ahead.org/professional-resources/publications/jped/archived-jped/jped-volume-31</w:t>
      </w:r>
    </w:p>
    <w:p w14:paraId="00000060" w14:textId="77777777" w:rsidR="00B93084" w:rsidRDefault="00B93084">
      <w:pPr>
        <w:rPr>
          <w:rFonts w:ascii="Times New Roman" w:eastAsia="Times New Roman" w:hAnsi="Times New Roman" w:cs="Times New Roman"/>
          <w:sz w:val="24"/>
          <w:szCs w:val="24"/>
        </w:rPr>
      </w:pPr>
    </w:p>
    <w:p w14:paraId="00000061" w14:textId="77777777" w:rsidR="00B93084" w:rsidRDefault="00000000">
      <w:pPr>
        <w:rPr>
          <w:rFonts w:ascii="Times New Roman" w:eastAsia="Times New Roman" w:hAnsi="Times New Roman" w:cs="Times New Roman"/>
          <w:b/>
          <w:sz w:val="24"/>
          <w:szCs w:val="24"/>
        </w:rPr>
      </w:pPr>
      <w:bookmarkStart w:id="12" w:name="f7pdft2taagq" w:colFirst="0" w:colLast="0"/>
      <w:bookmarkEnd w:id="12"/>
      <w:r>
        <w:rPr>
          <w:rFonts w:ascii="Times New Roman" w:eastAsia="Times New Roman" w:hAnsi="Times New Roman" w:cs="Times New Roman"/>
          <w:b/>
          <w:sz w:val="24"/>
          <w:szCs w:val="24"/>
        </w:rPr>
        <w:t>Authored book with a DOI</w:t>
      </w:r>
    </w:p>
    <w:p w14:paraId="00000062" w14:textId="77777777" w:rsidR="00B93084"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 Author</w:t>
      </w:r>
    </w:p>
    <w:p w14:paraId="00000063" w14:textId="77777777" w:rsidR="00B9308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L. S. (2018). </w:t>
      </w:r>
      <w:r>
        <w:rPr>
          <w:rFonts w:ascii="Times New Roman" w:eastAsia="Times New Roman" w:hAnsi="Times New Roman" w:cs="Times New Roman"/>
          <w:i/>
          <w:sz w:val="24"/>
          <w:szCs w:val="24"/>
        </w:rPr>
        <w:t xml:space="preserve">Feminist therapy </w:t>
      </w:r>
      <w:r>
        <w:rPr>
          <w:rFonts w:ascii="Times New Roman" w:eastAsia="Times New Roman" w:hAnsi="Times New Roman" w:cs="Times New Roman"/>
          <w:sz w:val="24"/>
          <w:szCs w:val="24"/>
        </w:rPr>
        <w:t>(2nd ed.). American Psychological Association. https://doi.org/10.1037/0000092-000</w:t>
      </w:r>
    </w:p>
    <w:p w14:paraId="00000064" w14:textId="77777777" w:rsidR="00B93084"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Authors</w:t>
      </w:r>
    </w:p>
    <w:p w14:paraId="00000065" w14:textId="77777777" w:rsidR="00B9308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Brown, L. S., &amp; Weir, K. (2018). </w:t>
      </w:r>
      <w:r>
        <w:rPr>
          <w:rFonts w:ascii="Times New Roman" w:eastAsia="Times New Roman" w:hAnsi="Times New Roman" w:cs="Times New Roman"/>
          <w:i/>
          <w:sz w:val="24"/>
          <w:szCs w:val="24"/>
        </w:rPr>
        <w:t xml:space="preserve">Feminist therapy </w:t>
      </w:r>
      <w:r>
        <w:rPr>
          <w:rFonts w:ascii="Times New Roman" w:eastAsia="Times New Roman" w:hAnsi="Times New Roman" w:cs="Times New Roman"/>
          <w:sz w:val="24"/>
          <w:szCs w:val="24"/>
        </w:rPr>
        <w:t>(2nd ed.). American Psychological Association. https://doi.org/10.1037/0000092-000</w:t>
      </w:r>
    </w:p>
    <w:p w14:paraId="00000066" w14:textId="77777777" w:rsidR="00B93084"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Authors</w:t>
      </w:r>
    </w:p>
    <w:p w14:paraId="00000067" w14:textId="77777777" w:rsidR="00B9308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Brown, L. S., Goldman, C., &amp; Weir, K. (2018). </w:t>
      </w:r>
      <w:r>
        <w:rPr>
          <w:rFonts w:ascii="Times New Roman" w:eastAsia="Times New Roman" w:hAnsi="Times New Roman" w:cs="Times New Roman"/>
          <w:i/>
          <w:sz w:val="24"/>
          <w:szCs w:val="24"/>
        </w:rPr>
        <w:t xml:space="preserve">Feminist therapy </w:t>
      </w:r>
      <w:r>
        <w:rPr>
          <w:rFonts w:ascii="Times New Roman" w:eastAsia="Times New Roman" w:hAnsi="Times New Roman" w:cs="Times New Roman"/>
          <w:sz w:val="24"/>
          <w:szCs w:val="24"/>
        </w:rPr>
        <w:t>(2nd ed.). American Psychological Association. https://doi.org/10.1037/0000092-000</w:t>
      </w:r>
    </w:p>
    <w:p w14:paraId="00000068" w14:textId="77777777" w:rsidR="00B93084"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 Authors</w:t>
      </w:r>
    </w:p>
    <w:p w14:paraId="00000069" w14:textId="77777777" w:rsidR="00B93084" w:rsidRDefault="00000000">
      <w:pPr>
        <w:numPr>
          <w:ilvl w:val="1"/>
          <w:numId w:val="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Brown, L. S., Goldman, C., </w:t>
      </w:r>
      <w:proofErr w:type="spellStart"/>
      <w:r>
        <w:rPr>
          <w:rFonts w:ascii="Times New Roman" w:eastAsia="Times New Roman" w:hAnsi="Times New Roman" w:cs="Times New Roman"/>
          <w:sz w:val="24"/>
          <w:szCs w:val="24"/>
        </w:rPr>
        <w:t>Bustillos</w:t>
      </w:r>
      <w:proofErr w:type="spellEnd"/>
      <w:r>
        <w:rPr>
          <w:rFonts w:ascii="Times New Roman" w:eastAsia="Times New Roman" w:hAnsi="Times New Roman" w:cs="Times New Roman"/>
          <w:sz w:val="24"/>
          <w:szCs w:val="24"/>
        </w:rPr>
        <w:t xml:space="preserve">, M. J., &amp; Weir, K. (2018). </w:t>
      </w:r>
      <w:r>
        <w:rPr>
          <w:rFonts w:ascii="Times New Roman" w:eastAsia="Times New Roman" w:hAnsi="Times New Roman" w:cs="Times New Roman"/>
          <w:i/>
          <w:sz w:val="24"/>
          <w:szCs w:val="24"/>
        </w:rPr>
        <w:t xml:space="preserve">Feminist therapy </w:t>
      </w:r>
      <w:r>
        <w:rPr>
          <w:rFonts w:ascii="Times New Roman" w:eastAsia="Times New Roman" w:hAnsi="Times New Roman" w:cs="Times New Roman"/>
          <w:sz w:val="24"/>
          <w:szCs w:val="24"/>
        </w:rPr>
        <w:t>(2nd ed.). American Psychological Association. https://doi.org/10.1037/0000092-000</w:t>
      </w:r>
    </w:p>
    <w:p w14:paraId="0000006A" w14:textId="77777777" w:rsidR="00B93084" w:rsidRDefault="00B93084">
      <w:pPr>
        <w:rPr>
          <w:rFonts w:ascii="Times New Roman" w:eastAsia="Times New Roman" w:hAnsi="Times New Roman" w:cs="Times New Roman"/>
          <w:sz w:val="24"/>
          <w:szCs w:val="24"/>
        </w:rPr>
      </w:pPr>
    </w:p>
    <w:p w14:paraId="0000006B" w14:textId="77777777" w:rsidR="00B93084" w:rsidRDefault="00000000">
      <w:pPr>
        <w:rPr>
          <w:rFonts w:ascii="Times New Roman" w:eastAsia="Times New Roman" w:hAnsi="Times New Roman" w:cs="Times New Roman"/>
          <w:b/>
          <w:sz w:val="24"/>
          <w:szCs w:val="24"/>
        </w:rPr>
      </w:pPr>
      <w:bookmarkStart w:id="13" w:name="k3iamvjobkh9" w:colFirst="0" w:colLast="0"/>
      <w:bookmarkEnd w:id="13"/>
      <w:r>
        <w:rPr>
          <w:rFonts w:ascii="Times New Roman" w:eastAsia="Times New Roman" w:hAnsi="Times New Roman" w:cs="Times New Roman"/>
          <w:b/>
          <w:sz w:val="24"/>
          <w:szCs w:val="24"/>
        </w:rPr>
        <w:t>Authored book without a DOI, from most academic research databases or print version</w:t>
      </w:r>
    </w:p>
    <w:p w14:paraId="0000006C" w14:textId="77777777" w:rsidR="00B93084"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 Author</w:t>
      </w:r>
    </w:p>
    <w:p w14:paraId="0000006D" w14:textId="77777777" w:rsidR="00B9308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Burgess, R. (2019) </w:t>
      </w:r>
      <w:r>
        <w:rPr>
          <w:rFonts w:ascii="Times New Roman" w:eastAsia="Times New Roman" w:hAnsi="Times New Roman" w:cs="Times New Roman"/>
          <w:i/>
          <w:sz w:val="24"/>
          <w:szCs w:val="24"/>
        </w:rPr>
        <w:t xml:space="preserve">Rethinking global health: Frameworks of power. </w:t>
      </w:r>
      <w:r>
        <w:rPr>
          <w:rFonts w:ascii="Times New Roman" w:eastAsia="Times New Roman" w:hAnsi="Times New Roman" w:cs="Times New Roman"/>
          <w:sz w:val="24"/>
          <w:szCs w:val="24"/>
        </w:rPr>
        <w:t>Routledge.</w:t>
      </w:r>
    </w:p>
    <w:p w14:paraId="0000006E" w14:textId="77777777" w:rsidR="00B93084"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Authors</w:t>
      </w:r>
    </w:p>
    <w:p w14:paraId="0000006F" w14:textId="77777777" w:rsidR="00B9308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Burgess, R., &amp; Weir, K. (2019) </w:t>
      </w:r>
      <w:r>
        <w:rPr>
          <w:rFonts w:ascii="Times New Roman" w:eastAsia="Times New Roman" w:hAnsi="Times New Roman" w:cs="Times New Roman"/>
          <w:i/>
          <w:sz w:val="24"/>
          <w:szCs w:val="24"/>
        </w:rPr>
        <w:t xml:space="preserve">Rethinking global health: Frameworks of power. </w:t>
      </w:r>
      <w:r>
        <w:rPr>
          <w:rFonts w:ascii="Times New Roman" w:eastAsia="Times New Roman" w:hAnsi="Times New Roman" w:cs="Times New Roman"/>
          <w:sz w:val="24"/>
          <w:szCs w:val="24"/>
        </w:rPr>
        <w:t>Routledge.</w:t>
      </w:r>
    </w:p>
    <w:p w14:paraId="00000070" w14:textId="77777777" w:rsidR="00B93084"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Authors</w:t>
      </w:r>
    </w:p>
    <w:p w14:paraId="00000071" w14:textId="77777777" w:rsidR="00B9308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Burgess, R., Goldman, C., &amp; Weir, K. (2019) </w:t>
      </w:r>
      <w:r>
        <w:rPr>
          <w:rFonts w:ascii="Times New Roman" w:eastAsia="Times New Roman" w:hAnsi="Times New Roman" w:cs="Times New Roman"/>
          <w:i/>
          <w:sz w:val="24"/>
          <w:szCs w:val="24"/>
        </w:rPr>
        <w:t xml:space="preserve">Rethinking global health: Frameworks of power. </w:t>
      </w:r>
      <w:r>
        <w:rPr>
          <w:rFonts w:ascii="Times New Roman" w:eastAsia="Times New Roman" w:hAnsi="Times New Roman" w:cs="Times New Roman"/>
          <w:sz w:val="24"/>
          <w:szCs w:val="24"/>
        </w:rPr>
        <w:t>Routledge.</w:t>
      </w:r>
    </w:p>
    <w:p w14:paraId="00000072" w14:textId="77777777" w:rsidR="00B93084"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 Authors</w:t>
      </w:r>
    </w:p>
    <w:p w14:paraId="00000073" w14:textId="77777777" w:rsidR="00B93084" w:rsidRDefault="00000000">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Burgess, R., Goldman, C.</w:t>
      </w:r>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Bustillos</w:t>
      </w:r>
      <w:proofErr w:type="spellEnd"/>
      <w:proofErr w:type="gramEnd"/>
      <w:r>
        <w:rPr>
          <w:rFonts w:ascii="Times New Roman" w:eastAsia="Times New Roman" w:hAnsi="Times New Roman" w:cs="Times New Roman"/>
          <w:sz w:val="24"/>
          <w:szCs w:val="24"/>
        </w:rPr>
        <w:t xml:space="preserve">, M., &amp; Weir, K. (2019) </w:t>
      </w:r>
      <w:r>
        <w:rPr>
          <w:rFonts w:ascii="Times New Roman" w:eastAsia="Times New Roman" w:hAnsi="Times New Roman" w:cs="Times New Roman"/>
          <w:i/>
          <w:sz w:val="24"/>
          <w:szCs w:val="24"/>
        </w:rPr>
        <w:t xml:space="preserve">Rethinking global health: Frameworks of power. </w:t>
      </w:r>
      <w:r>
        <w:rPr>
          <w:rFonts w:ascii="Times New Roman" w:eastAsia="Times New Roman" w:hAnsi="Times New Roman" w:cs="Times New Roman"/>
          <w:sz w:val="24"/>
          <w:szCs w:val="24"/>
        </w:rPr>
        <w:t>Routledge.</w:t>
      </w:r>
    </w:p>
    <w:p w14:paraId="00000074" w14:textId="77777777" w:rsidR="00B93084" w:rsidRDefault="00B93084">
      <w:pPr>
        <w:rPr>
          <w:rFonts w:ascii="Times New Roman" w:eastAsia="Times New Roman" w:hAnsi="Times New Roman" w:cs="Times New Roman"/>
          <w:sz w:val="24"/>
          <w:szCs w:val="24"/>
        </w:rPr>
      </w:pPr>
    </w:p>
    <w:p w14:paraId="00000075" w14:textId="77777777" w:rsidR="00B93084" w:rsidRDefault="00000000">
      <w:pPr>
        <w:rPr>
          <w:rFonts w:ascii="Times New Roman" w:eastAsia="Times New Roman" w:hAnsi="Times New Roman" w:cs="Times New Roman"/>
          <w:b/>
          <w:sz w:val="24"/>
          <w:szCs w:val="24"/>
        </w:rPr>
      </w:pPr>
      <w:bookmarkStart w:id="14" w:name="kix.w9esvcj0vxo1" w:colFirst="0" w:colLast="0"/>
      <w:bookmarkEnd w:id="14"/>
      <w:r>
        <w:rPr>
          <w:rFonts w:ascii="Times New Roman" w:eastAsia="Times New Roman" w:hAnsi="Times New Roman" w:cs="Times New Roman"/>
          <w:b/>
          <w:sz w:val="24"/>
          <w:szCs w:val="24"/>
        </w:rPr>
        <w:t>Blog post</w:t>
      </w:r>
    </w:p>
    <w:p w14:paraId="00000076" w14:textId="77777777" w:rsidR="00B93084" w:rsidRDefault="00000000">
      <w:pPr>
        <w:numPr>
          <w:ilvl w:val="1"/>
          <w:numId w:val="5"/>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One Author</w:t>
      </w:r>
    </w:p>
    <w:p w14:paraId="00000077" w14:textId="77777777" w:rsidR="00B93084" w:rsidRDefault="00000000">
      <w:pPr>
        <w:numPr>
          <w:ilvl w:val="2"/>
          <w:numId w:val="5"/>
        </w:numPr>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Klymkowsky</w:t>
      </w:r>
      <w:proofErr w:type="spellEnd"/>
      <w:r>
        <w:rPr>
          <w:rFonts w:ascii="Times New Roman" w:eastAsia="Times New Roman" w:hAnsi="Times New Roman" w:cs="Times New Roman"/>
          <w:sz w:val="24"/>
          <w:szCs w:val="24"/>
        </w:rPr>
        <w:t xml:space="preserve">, M. (2018, September 15). Can we talk scientifically about free will? </w:t>
      </w:r>
      <w:r>
        <w:rPr>
          <w:rFonts w:ascii="Times New Roman" w:eastAsia="Times New Roman" w:hAnsi="Times New Roman" w:cs="Times New Roman"/>
          <w:i/>
          <w:sz w:val="24"/>
          <w:szCs w:val="24"/>
        </w:rPr>
        <w:t>Sci-Ed.</w:t>
      </w:r>
      <w:r>
        <w:rPr>
          <w:rFonts w:ascii="Times New Roman" w:eastAsia="Times New Roman" w:hAnsi="Times New Roman" w:cs="Times New Roman"/>
          <w:sz w:val="24"/>
          <w:szCs w:val="24"/>
        </w:rPr>
        <w:t xml:space="preserve"> https://blogs.plos.org/scied/2018/09/15/can-we-talk-scientifically-about-free-will/</w:t>
      </w:r>
    </w:p>
    <w:p w14:paraId="00000078" w14:textId="77777777" w:rsidR="00B93084" w:rsidRDefault="00000000">
      <w:pPr>
        <w:numPr>
          <w:ilvl w:val="1"/>
          <w:numId w:val="5"/>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 Authors</w:t>
      </w:r>
    </w:p>
    <w:p w14:paraId="00000079" w14:textId="77777777" w:rsidR="00B93084" w:rsidRDefault="00000000">
      <w:pPr>
        <w:numPr>
          <w:ilvl w:val="2"/>
          <w:numId w:val="5"/>
        </w:numPr>
        <w:ind w:left="144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Klymkowsky</w:t>
      </w:r>
      <w:proofErr w:type="spellEnd"/>
      <w:r>
        <w:rPr>
          <w:rFonts w:ascii="Times New Roman" w:eastAsia="Times New Roman" w:hAnsi="Times New Roman" w:cs="Times New Roman"/>
          <w:sz w:val="24"/>
          <w:szCs w:val="24"/>
        </w:rPr>
        <w:t xml:space="preserve">, M., &amp; Goldman, C. (2018, September 15). Can we talk scientifically about free will? </w:t>
      </w:r>
      <w:r>
        <w:rPr>
          <w:rFonts w:ascii="Times New Roman" w:eastAsia="Times New Roman" w:hAnsi="Times New Roman" w:cs="Times New Roman"/>
          <w:i/>
          <w:sz w:val="24"/>
          <w:szCs w:val="24"/>
        </w:rPr>
        <w:t>Sci-Ed.</w:t>
      </w:r>
      <w:r>
        <w:rPr>
          <w:rFonts w:ascii="Times New Roman" w:eastAsia="Times New Roman" w:hAnsi="Times New Roman" w:cs="Times New Roman"/>
          <w:sz w:val="24"/>
          <w:szCs w:val="24"/>
        </w:rPr>
        <w:t xml:space="preserve"> https://blogs.plos.org/scied/2018/09/15/can-we-talk-scientifically-about-free-will/</w:t>
      </w:r>
    </w:p>
    <w:p w14:paraId="0000007A" w14:textId="77777777" w:rsidR="00B93084" w:rsidRDefault="00000000">
      <w:pPr>
        <w:numPr>
          <w:ilvl w:val="1"/>
          <w:numId w:val="5"/>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Three Authors</w:t>
      </w:r>
    </w:p>
    <w:p w14:paraId="0000007B" w14:textId="77777777" w:rsidR="00B93084" w:rsidRDefault="00000000">
      <w:pPr>
        <w:numPr>
          <w:ilvl w:val="2"/>
          <w:numId w:val="5"/>
        </w:numPr>
        <w:ind w:left="144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Klymkowsky</w:t>
      </w:r>
      <w:proofErr w:type="spellEnd"/>
      <w:r>
        <w:rPr>
          <w:rFonts w:ascii="Times New Roman" w:eastAsia="Times New Roman" w:hAnsi="Times New Roman" w:cs="Times New Roman"/>
          <w:sz w:val="24"/>
          <w:szCs w:val="24"/>
        </w:rPr>
        <w:t xml:space="preserve">, M., Weir, K., &amp; Goldman, C. (2018, September 15). Can we talk scientifically about free will? </w:t>
      </w:r>
      <w:r>
        <w:rPr>
          <w:rFonts w:ascii="Times New Roman" w:eastAsia="Times New Roman" w:hAnsi="Times New Roman" w:cs="Times New Roman"/>
          <w:i/>
          <w:sz w:val="24"/>
          <w:szCs w:val="24"/>
        </w:rPr>
        <w:t>Sci-Ed.</w:t>
      </w:r>
      <w:r>
        <w:rPr>
          <w:rFonts w:ascii="Times New Roman" w:eastAsia="Times New Roman" w:hAnsi="Times New Roman" w:cs="Times New Roman"/>
          <w:sz w:val="24"/>
          <w:szCs w:val="24"/>
        </w:rPr>
        <w:t xml:space="preserve"> https://blogs.plos.org/scied/2018/09/15/can-we-talk-scientifically-about-free-will/</w:t>
      </w:r>
    </w:p>
    <w:p w14:paraId="0000007C" w14:textId="77777777" w:rsidR="00B93084" w:rsidRDefault="00000000">
      <w:pPr>
        <w:numPr>
          <w:ilvl w:val="1"/>
          <w:numId w:val="5"/>
        </w:numPr>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 Authors</w:t>
      </w:r>
    </w:p>
    <w:p w14:paraId="0000007D" w14:textId="77777777" w:rsidR="00B93084" w:rsidRDefault="00000000">
      <w:pPr>
        <w:numPr>
          <w:ilvl w:val="2"/>
          <w:numId w:val="5"/>
        </w:numPr>
        <w:ind w:left="1440"/>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Klymkowsky</w:t>
      </w:r>
      <w:proofErr w:type="spellEnd"/>
      <w:r>
        <w:rPr>
          <w:rFonts w:ascii="Times New Roman" w:eastAsia="Times New Roman" w:hAnsi="Times New Roman" w:cs="Times New Roman"/>
          <w:sz w:val="24"/>
          <w:szCs w:val="24"/>
        </w:rPr>
        <w:t xml:space="preserve">, M., Weir, K., </w:t>
      </w:r>
      <w:proofErr w:type="spellStart"/>
      <w:r>
        <w:rPr>
          <w:rFonts w:ascii="Times New Roman" w:eastAsia="Times New Roman" w:hAnsi="Times New Roman" w:cs="Times New Roman"/>
          <w:sz w:val="24"/>
          <w:szCs w:val="24"/>
        </w:rPr>
        <w:t>Bustillos</w:t>
      </w:r>
      <w:proofErr w:type="spellEnd"/>
      <w:r>
        <w:rPr>
          <w:rFonts w:ascii="Times New Roman" w:eastAsia="Times New Roman" w:hAnsi="Times New Roman" w:cs="Times New Roman"/>
          <w:sz w:val="24"/>
          <w:szCs w:val="24"/>
        </w:rPr>
        <w:t xml:space="preserve">, M., &amp; Goldman, C. (2018, September 15). Can we talk scientifically about free will? </w:t>
      </w:r>
      <w:r>
        <w:rPr>
          <w:rFonts w:ascii="Times New Roman" w:eastAsia="Times New Roman" w:hAnsi="Times New Roman" w:cs="Times New Roman"/>
          <w:i/>
          <w:sz w:val="24"/>
          <w:szCs w:val="24"/>
        </w:rPr>
        <w:t>Sci-Ed.</w:t>
      </w:r>
      <w:r>
        <w:rPr>
          <w:rFonts w:ascii="Times New Roman" w:eastAsia="Times New Roman" w:hAnsi="Times New Roman" w:cs="Times New Roman"/>
          <w:sz w:val="24"/>
          <w:szCs w:val="24"/>
        </w:rPr>
        <w:t xml:space="preserve"> https://blogs.plos.org/scied/2018/09/15/can-we-talk-scientifically-about-free-will/</w:t>
      </w:r>
    </w:p>
    <w:p w14:paraId="0000007E" w14:textId="77777777" w:rsidR="00B93084" w:rsidRDefault="00B93084">
      <w:pPr>
        <w:rPr>
          <w:rFonts w:ascii="Times New Roman" w:eastAsia="Times New Roman" w:hAnsi="Times New Roman" w:cs="Times New Roman"/>
          <w:sz w:val="24"/>
          <w:szCs w:val="24"/>
        </w:rPr>
      </w:pPr>
    </w:p>
    <w:p w14:paraId="0000007F" w14:textId="77777777" w:rsidR="00B93084" w:rsidRDefault="00000000">
      <w:pPr>
        <w:rPr>
          <w:rFonts w:ascii="Times New Roman" w:eastAsia="Times New Roman" w:hAnsi="Times New Roman" w:cs="Times New Roman"/>
          <w:b/>
          <w:sz w:val="24"/>
          <w:szCs w:val="24"/>
        </w:rPr>
      </w:pPr>
      <w:bookmarkStart w:id="15" w:name="q5hmzdttydpo" w:colFirst="0" w:colLast="0"/>
      <w:bookmarkEnd w:id="15"/>
      <w:r>
        <w:rPr>
          <w:rFonts w:ascii="Times New Roman" w:eastAsia="Times New Roman" w:hAnsi="Times New Roman" w:cs="Times New Roman"/>
          <w:b/>
          <w:sz w:val="24"/>
          <w:szCs w:val="24"/>
        </w:rPr>
        <w:t>Master’s Thesis</w:t>
      </w:r>
    </w:p>
    <w:p w14:paraId="00000080" w14:textId="48DF6428" w:rsidR="00B93084" w:rsidRDefault="3FA0AAEC">
      <w:pPr>
        <w:numPr>
          <w:ilvl w:val="0"/>
          <w:numId w:val="4"/>
        </w:numPr>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lastRenderedPageBreak/>
        <w:t xml:space="preserve">Hutcheson, V. H. (2012). </w:t>
      </w:r>
      <w:r w:rsidRPr="3FA0AAEC">
        <w:rPr>
          <w:rFonts w:ascii="Times New Roman" w:eastAsia="Times New Roman" w:hAnsi="Times New Roman" w:cs="Times New Roman"/>
          <w:i/>
          <w:iCs/>
          <w:sz w:val="24"/>
          <w:szCs w:val="24"/>
        </w:rPr>
        <w:t xml:space="preserve">Dealing with dual differences: Social coping strategies of gifted adolescents </w:t>
      </w:r>
      <w:r w:rsidRPr="3FA0AAEC">
        <w:rPr>
          <w:rFonts w:ascii="Times New Roman" w:eastAsia="Times New Roman" w:hAnsi="Times New Roman" w:cs="Times New Roman"/>
          <w:sz w:val="24"/>
          <w:szCs w:val="24"/>
        </w:rPr>
        <w:t>[Master’s thesis, Montana State University]. Theses and Dissertations at Montana State University (MSU). https://scholarworks.montana.edu/xmlui/handle/1/8193</w:t>
      </w:r>
    </w:p>
    <w:p w14:paraId="1AFAB662" w14:textId="502D79DA" w:rsidR="3FA0AAEC" w:rsidRDefault="3FA0AAEC" w:rsidP="3FA0AAEC">
      <w:pPr>
        <w:rPr>
          <w:rFonts w:ascii="Times New Roman" w:eastAsia="Times New Roman" w:hAnsi="Times New Roman" w:cs="Times New Roman"/>
          <w:sz w:val="24"/>
          <w:szCs w:val="24"/>
        </w:rPr>
      </w:pPr>
    </w:p>
    <w:p w14:paraId="00000081" w14:textId="77777777" w:rsidR="00B93084" w:rsidRDefault="2B2577A4" w:rsidP="3FA0AAEC">
      <w:pPr>
        <w:rPr>
          <w:rFonts w:ascii="Times New Roman" w:eastAsia="Times New Roman" w:hAnsi="Times New Roman" w:cs="Times New Roman"/>
          <w:b/>
          <w:bCs/>
          <w:sz w:val="24"/>
          <w:szCs w:val="24"/>
        </w:rPr>
      </w:pPr>
      <w:r w:rsidRPr="3FA0AAEC">
        <w:rPr>
          <w:rFonts w:ascii="Times New Roman" w:eastAsia="Times New Roman" w:hAnsi="Times New Roman" w:cs="Times New Roman"/>
          <w:b/>
          <w:bCs/>
          <w:sz w:val="24"/>
          <w:szCs w:val="24"/>
        </w:rPr>
        <w:t>Specific Resources</w:t>
      </w:r>
    </w:p>
    <w:p w14:paraId="5ADB5668" w14:textId="6FDEADE6" w:rsidR="10DE80A1" w:rsidRDefault="10DE80A1" w:rsidP="3FA0AAEC">
      <w:pPr>
        <w:pStyle w:val="ListParagraph"/>
        <w:numPr>
          <w:ilvl w:val="0"/>
          <w:numId w:val="1"/>
        </w:numPr>
        <w:rPr>
          <w:rFonts w:ascii="Times New Roman" w:eastAsia="Times New Roman" w:hAnsi="Times New Roman" w:cs="Times New Roman"/>
          <w:sz w:val="24"/>
          <w:szCs w:val="24"/>
        </w:rPr>
      </w:pPr>
      <w:r w:rsidRPr="3FA0AAEC">
        <w:rPr>
          <w:rFonts w:ascii="Times New Roman" w:eastAsia="Times New Roman" w:hAnsi="Times New Roman" w:cs="Times New Roman"/>
          <w:sz w:val="24"/>
          <w:szCs w:val="24"/>
        </w:rPr>
        <w:t xml:space="preserve">National Research Council. (2012). </w:t>
      </w:r>
      <w:r w:rsidRPr="3FA0AAEC">
        <w:rPr>
          <w:rFonts w:ascii="Times New Roman" w:eastAsia="Times New Roman" w:hAnsi="Times New Roman" w:cs="Times New Roman"/>
          <w:i/>
          <w:iCs/>
          <w:sz w:val="24"/>
          <w:szCs w:val="24"/>
        </w:rPr>
        <w:t>A framework for K-12 science education: Practices, crosscutting concepts, and core ideas</w:t>
      </w:r>
      <w:r w:rsidRPr="3FA0AAEC">
        <w:rPr>
          <w:rFonts w:ascii="Times New Roman" w:eastAsia="Times New Roman" w:hAnsi="Times New Roman" w:cs="Times New Roman"/>
          <w:sz w:val="24"/>
          <w:szCs w:val="24"/>
        </w:rPr>
        <w:t>. National Academies Press.</w:t>
      </w:r>
    </w:p>
    <w:p w14:paraId="39E4C6B5" w14:textId="3575EA25" w:rsidR="10DE80A1" w:rsidRPr="007347C4" w:rsidRDefault="10DE80A1" w:rsidP="3FA0AAEC">
      <w:pPr>
        <w:pStyle w:val="ListParagraph"/>
        <w:numPr>
          <w:ilvl w:val="0"/>
          <w:numId w:val="1"/>
        </w:numPr>
        <w:rPr>
          <w:sz w:val="24"/>
          <w:szCs w:val="24"/>
        </w:rPr>
      </w:pPr>
      <w:r w:rsidRPr="3FA0AAEC">
        <w:rPr>
          <w:rFonts w:ascii="Times New Roman" w:eastAsia="Times New Roman" w:hAnsi="Times New Roman" w:cs="Times New Roman"/>
          <w:sz w:val="24"/>
          <w:szCs w:val="24"/>
        </w:rPr>
        <w:t xml:space="preserve">NGSS Lead States. (2013). </w:t>
      </w:r>
      <w:r w:rsidRPr="3FA0AAEC">
        <w:rPr>
          <w:rFonts w:ascii="Times New Roman" w:eastAsia="Times New Roman" w:hAnsi="Times New Roman" w:cs="Times New Roman"/>
          <w:i/>
          <w:iCs/>
          <w:sz w:val="24"/>
          <w:szCs w:val="24"/>
        </w:rPr>
        <w:t xml:space="preserve">Next </w:t>
      </w:r>
      <w:r w:rsidR="67142738" w:rsidRPr="3FA0AAEC">
        <w:rPr>
          <w:rFonts w:ascii="Times New Roman" w:eastAsia="Times New Roman" w:hAnsi="Times New Roman" w:cs="Times New Roman"/>
          <w:i/>
          <w:iCs/>
          <w:sz w:val="24"/>
          <w:szCs w:val="24"/>
        </w:rPr>
        <w:t>Generation Science Standards: For states, by states.</w:t>
      </w:r>
      <w:r w:rsidR="67142738" w:rsidRPr="3FA0AAEC">
        <w:rPr>
          <w:rFonts w:ascii="Times New Roman" w:eastAsia="Times New Roman" w:hAnsi="Times New Roman" w:cs="Times New Roman"/>
          <w:sz w:val="24"/>
          <w:szCs w:val="24"/>
        </w:rPr>
        <w:t xml:space="preserve"> National Academies Press.</w:t>
      </w:r>
    </w:p>
    <w:p w14:paraId="07A44B30" w14:textId="3BCE245B" w:rsidR="007347C4" w:rsidRDefault="007347C4" w:rsidP="007347C4">
      <w:pPr>
        <w:rPr>
          <w:sz w:val="24"/>
          <w:szCs w:val="24"/>
        </w:rPr>
      </w:pPr>
    </w:p>
    <w:p w14:paraId="6E559025" w14:textId="1E45116A" w:rsidR="007347C4" w:rsidRDefault="007347C4" w:rsidP="007347C4">
      <w:pPr>
        <w:rPr>
          <w:rFonts w:ascii="Times" w:hAnsi="Times"/>
          <w:b/>
          <w:bCs/>
          <w:sz w:val="24"/>
          <w:szCs w:val="24"/>
        </w:rPr>
      </w:pPr>
      <w:r w:rsidRPr="007347C4">
        <w:rPr>
          <w:rFonts w:ascii="Times" w:hAnsi="Times"/>
          <w:b/>
          <w:bCs/>
          <w:sz w:val="24"/>
          <w:szCs w:val="24"/>
        </w:rPr>
        <w:t>Other Helps</w:t>
      </w:r>
    </w:p>
    <w:p w14:paraId="5AB9D138" w14:textId="259C36A6" w:rsidR="007347C4" w:rsidRDefault="007347C4" w:rsidP="007347C4">
      <w:pPr>
        <w:rPr>
          <w:rFonts w:ascii="Times" w:hAnsi="Times"/>
          <w:b/>
          <w:bCs/>
          <w:sz w:val="24"/>
          <w:szCs w:val="24"/>
        </w:rPr>
      </w:pPr>
    </w:p>
    <w:p w14:paraId="45AA4702" w14:textId="23744BA3" w:rsidR="007347C4" w:rsidRPr="007347C4" w:rsidRDefault="007347C4" w:rsidP="007347C4">
      <w:pPr>
        <w:rPr>
          <w:rFonts w:ascii="Times" w:hAnsi="Times"/>
          <w:sz w:val="24"/>
          <w:szCs w:val="24"/>
        </w:rPr>
      </w:pPr>
      <w:r w:rsidRPr="007347C4">
        <w:rPr>
          <w:rFonts w:ascii="Times" w:hAnsi="Times"/>
          <w:sz w:val="24"/>
          <w:szCs w:val="24"/>
        </w:rPr>
        <w:t xml:space="preserve">You should use paraphrasing </w:t>
      </w:r>
      <w:proofErr w:type="gramStart"/>
      <w:r w:rsidRPr="007347C4">
        <w:rPr>
          <w:rFonts w:ascii="Times" w:hAnsi="Times"/>
          <w:sz w:val="24"/>
          <w:szCs w:val="24"/>
        </w:rPr>
        <w:t>a majority of</w:t>
      </w:r>
      <w:proofErr w:type="gramEnd"/>
      <w:r w:rsidRPr="007347C4">
        <w:rPr>
          <w:rFonts w:ascii="Times" w:hAnsi="Times"/>
          <w:sz w:val="24"/>
          <w:szCs w:val="24"/>
        </w:rPr>
        <w:t xml:space="preserve"> the time in your writing.  This indicates that you, the author, have read and understand the content you are writing.  On rare occasions, direct quotes are used to emphasize a point, but should be used sparingly.  </w:t>
      </w:r>
      <w:hyperlink r:id="rId6" w:history="1">
        <w:r w:rsidRPr="007347C4">
          <w:rPr>
            <w:rStyle w:val="Hyperlink"/>
            <w:rFonts w:ascii="Times" w:hAnsi="Times"/>
            <w:sz w:val="24"/>
            <w:szCs w:val="24"/>
          </w:rPr>
          <w:t>Watch this video</w:t>
        </w:r>
      </w:hyperlink>
      <w:r w:rsidRPr="007347C4">
        <w:rPr>
          <w:rFonts w:ascii="Times" w:hAnsi="Times"/>
          <w:sz w:val="24"/>
          <w:szCs w:val="24"/>
        </w:rPr>
        <w:t xml:space="preserve"> for more explanation.</w:t>
      </w:r>
    </w:p>
    <w:p w14:paraId="46538635" w14:textId="77777777" w:rsidR="007347C4" w:rsidRDefault="007347C4" w:rsidP="007347C4">
      <w:pPr>
        <w:rPr>
          <w:rFonts w:ascii="Times" w:hAnsi="Times"/>
          <w:b/>
          <w:bCs/>
          <w:sz w:val="24"/>
          <w:szCs w:val="24"/>
        </w:rPr>
      </w:pPr>
    </w:p>
    <w:p w14:paraId="7D92C38A" w14:textId="77777777" w:rsidR="007347C4" w:rsidRPr="007347C4" w:rsidRDefault="007347C4" w:rsidP="007347C4">
      <w:pPr>
        <w:rPr>
          <w:sz w:val="24"/>
          <w:szCs w:val="24"/>
        </w:rPr>
      </w:pPr>
    </w:p>
    <w:sectPr w:rsidR="007347C4" w:rsidRPr="007347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384"/>
    <w:multiLevelType w:val="hybridMultilevel"/>
    <w:tmpl w:val="0BF0359A"/>
    <w:lvl w:ilvl="0" w:tplc="A26A61E6">
      <w:start w:val="1"/>
      <w:numFmt w:val="bullet"/>
      <w:lvlText w:val=""/>
      <w:lvlJc w:val="left"/>
      <w:pPr>
        <w:ind w:left="720" w:hanging="360"/>
      </w:pPr>
      <w:rPr>
        <w:rFonts w:ascii="Symbol" w:hAnsi="Symbol" w:hint="default"/>
      </w:rPr>
    </w:lvl>
    <w:lvl w:ilvl="1" w:tplc="39DABECC">
      <w:start w:val="1"/>
      <w:numFmt w:val="bullet"/>
      <w:lvlText w:val="o"/>
      <w:lvlJc w:val="left"/>
      <w:pPr>
        <w:ind w:left="1440" w:hanging="360"/>
      </w:pPr>
      <w:rPr>
        <w:rFonts w:ascii="Courier New" w:hAnsi="Courier New" w:hint="default"/>
      </w:rPr>
    </w:lvl>
    <w:lvl w:ilvl="2" w:tplc="3A8C8566">
      <w:start w:val="1"/>
      <w:numFmt w:val="bullet"/>
      <w:lvlText w:val=""/>
      <w:lvlJc w:val="left"/>
      <w:pPr>
        <w:ind w:left="2160" w:hanging="360"/>
      </w:pPr>
      <w:rPr>
        <w:rFonts w:ascii="Wingdings" w:hAnsi="Wingdings" w:hint="default"/>
      </w:rPr>
    </w:lvl>
    <w:lvl w:ilvl="3" w:tplc="FF6C89A0">
      <w:start w:val="1"/>
      <w:numFmt w:val="bullet"/>
      <w:lvlText w:val=""/>
      <w:lvlJc w:val="left"/>
      <w:pPr>
        <w:ind w:left="2880" w:hanging="360"/>
      </w:pPr>
      <w:rPr>
        <w:rFonts w:ascii="Symbol" w:hAnsi="Symbol" w:hint="default"/>
      </w:rPr>
    </w:lvl>
    <w:lvl w:ilvl="4" w:tplc="465E0A22">
      <w:start w:val="1"/>
      <w:numFmt w:val="bullet"/>
      <w:lvlText w:val="o"/>
      <w:lvlJc w:val="left"/>
      <w:pPr>
        <w:ind w:left="3600" w:hanging="360"/>
      </w:pPr>
      <w:rPr>
        <w:rFonts w:ascii="Courier New" w:hAnsi="Courier New" w:hint="default"/>
      </w:rPr>
    </w:lvl>
    <w:lvl w:ilvl="5" w:tplc="33D84EF2">
      <w:start w:val="1"/>
      <w:numFmt w:val="bullet"/>
      <w:lvlText w:val=""/>
      <w:lvlJc w:val="left"/>
      <w:pPr>
        <w:ind w:left="4320" w:hanging="360"/>
      </w:pPr>
      <w:rPr>
        <w:rFonts w:ascii="Wingdings" w:hAnsi="Wingdings" w:hint="default"/>
      </w:rPr>
    </w:lvl>
    <w:lvl w:ilvl="6" w:tplc="1E62E4FE">
      <w:start w:val="1"/>
      <w:numFmt w:val="bullet"/>
      <w:lvlText w:val=""/>
      <w:lvlJc w:val="left"/>
      <w:pPr>
        <w:ind w:left="5040" w:hanging="360"/>
      </w:pPr>
      <w:rPr>
        <w:rFonts w:ascii="Symbol" w:hAnsi="Symbol" w:hint="default"/>
      </w:rPr>
    </w:lvl>
    <w:lvl w:ilvl="7" w:tplc="80C8DFA4">
      <w:start w:val="1"/>
      <w:numFmt w:val="bullet"/>
      <w:lvlText w:val="o"/>
      <w:lvlJc w:val="left"/>
      <w:pPr>
        <w:ind w:left="5760" w:hanging="360"/>
      </w:pPr>
      <w:rPr>
        <w:rFonts w:ascii="Courier New" w:hAnsi="Courier New" w:hint="default"/>
      </w:rPr>
    </w:lvl>
    <w:lvl w:ilvl="8" w:tplc="4C8C27C4">
      <w:start w:val="1"/>
      <w:numFmt w:val="bullet"/>
      <w:lvlText w:val=""/>
      <w:lvlJc w:val="left"/>
      <w:pPr>
        <w:ind w:left="6480" w:hanging="360"/>
      </w:pPr>
      <w:rPr>
        <w:rFonts w:ascii="Wingdings" w:hAnsi="Wingdings" w:hint="default"/>
      </w:rPr>
    </w:lvl>
  </w:abstractNum>
  <w:abstractNum w:abstractNumId="1" w15:restartNumberingAfterBreak="0">
    <w:nsid w:val="1F4374B0"/>
    <w:multiLevelType w:val="multilevel"/>
    <w:tmpl w:val="BC4E8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3B6EDA"/>
    <w:multiLevelType w:val="multilevel"/>
    <w:tmpl w:val="F2845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BF2B34"/>
    <w:multiLevelType w:val="hybridMultilevel"/>
    <w:tmpl w:val="42065246"/>
    <w:lvl w:ilvl="0" w:tplc="9B22FF8E">
      <w:start w:val="1"/>
      <w:numFmt w:val="bullet"/>
      <w:lvlText w:val=""/>
      <w:lvlJc w:val="left"/>
      <w:pPr>
        <w:ind w:left="720" w:hanging="360"/>
      </w:pPr>
      <w:rPr>
        <w:rFonts w:ascii="Symbol" w:hAnsi="Symbol" w:hint="default"/>
      </w:rPr>
    </w:lvl>
    <w:lvl w:ilvl="1" w:tplc="9296F264">
      <w:start w:val="1"/>
      <w:numFmt w:val="bullet"/>
      <w:lvlText w:val="o"/>
      <w:lvlJc w:val="left"/>
      <w:pPr>
        <w:ind w:left="1440" w:hanging="360"/>
      </w:pPr>
      <w:rPr>
        <w:rFonts w:ascii="Courier New" w:hAnsi="Courier New" w:hint="default"/>
      </w:rPr>
    </w:lvl>
    <w:lvl w:ilvl="2" w:tplc="9EA6D2B4">
      <w:start w:val="1"/>
      <w:numFmt w:val="bullet"/>
      <w:lvlText w:val=""/>
      <w:lvlJc w:val="left"/>
      <w:pPr>
        <w:ind w:left="2160" w:hanging="360"/>
      </w:pPr>
      <w:rPr>
        <w:rFonts w:ascii="Wingdings" w:hAnsi="Wingdings" w:hint="default"/>
      </w:rPr>
    </w:lvl>
    <w:lvl w:ilvl="3" w:tplc="BF141B06">
      <w:start w:val="1"/>
      <w:numFmt w:val="bullet"/>
      <w:lvlText w:val=""/>
      <w:lvlJc w:val="left"/>
      <w:pPr>
        <w:ind w:left="2880" w:hanging="360"/>
      </w:pPr>
      <w:rPr>
        <w:rFonts w:ascii="Symbol" w:hAnsi="Symbol" w:hint="default"/>
      </w:rPr>
    </w:lvl>
    <w:lvl w:ilvl="4" w:tplc="2D22C136">
      <w:start w:val="1"/>
      <w:numFmt w:val="bullet"/>
      <w:lvlText w:val="o"/>
      <w:lvlJc w:val="left"/>
      <w:pPr>
        <w:ind w:left="3600" w:hanging="360"/>
      </w:pPr>
      <w:rPr>
        <w:rFonts w:ascii="Courier New" w:hAnsi="Courier New" w:hint="default"/>
      </w:rPr>
    </w:lvl>
    <w:lvl w:ilvl="5" w:tplc="B6F66E28">
      <w:start w:val="1"/>
      <w:numFmt w:val="bullet"/>
      <w:lvlText w:val=""/>
      <w:lvlJc w:val="left"/>
      <w:pPr>
        <w:ind w:left="4320" w:hanging="360"/>
      </w:pPr>
      <w:rPr>
        <w:rFonts w:ascii="Wingdings" w:hAnsi="Wingdings" w:hint="default"/>
      </w:rPr>
    </w:lvl>
    <w:lvl w:ilvl="6" w:tplc="94D40768">
      <w:start w:val="1"/>
      <w:numFmt w:val="bullet"/>
      <w:lvlText w:val=""/>
      <w:lvlJc w:val="left"/>
      <w:pPr>
        <w:ind w:left="5040" w:hanging="360"/>
      </w:pPr>
      <w:rPr>
        <w:rFonts w:ascii="Symbol" w:hAnsi="Symbol" w:hint="default"/>
      </w:rPr>
    </w:lvl>
    <w:lvl w:ilvl="7" w:tplc="76204190">
      <w:start w:val="1"/>
      <w:numFmt w:val="bullet"/>
      <w:lvlText w:val="o"/>
      <w:lvlJc w:val="left"/>
      <w:pPr>
        <w:ind w:left="5760" w:hanging="360"/>
      </w:pPr>
      <w:rPr>
        <w:rFonts w:ascii="Courier New" w:hAnsi="Courier New" w:hint="default"/>
      </w:rPr>
    </w:lvl>
    <w:lvl w:ilvl="8" w:tplc="A360396E">
      <w:start w:val="1"/>
      <w:numFmt w:val="bullet"/>
      <w:lvlText w:val=""/>
      <w:lvlJc w:val="left"/>
      <w:pPr>
        <w:ind w:left="6480" w:hanging="360"/>
      </w:pPr>
      <w:rPr>
        <w:rFonts w:ascii="Wingdings" w:hAnsi="Wingdings" w:hint="default"/>
      </w:rPr>
    </w:lvl>
  </w:abstractNum>
  <w:abstractNum w:abstractNumId="4" w15:restartNumberingAfterBreak="0">
    <w:nsid w:val="410B17D1"/>
    <w:multiLevelType w:val="multilevel"/>
    <w:tmpl w:val="BBB21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A76E83"/>
    <w:multiLevelType w:val="multilevel"/>
    <w:tmpl w:val="D8D86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5461250">
    <w:abstractNumId w:val="3"/>
  </w:num>
  <w:num w:numId="2" w16cid:durableId="1404260838">
    <w:abstractNumId w:val="0"/>
  </w:num>
  <w:num w:numId="3" w16cid:durableId="1353265333">
    <w:abstractNumId w:val="1"/>
  </w:num>
  <w:num w:numId="4" w16cid:durableId="271396575">
    <w:abstractNumId w:val="4"/>
  </w:num>
  <w:num w:numId="5" w16cid:durableId="1891650205">
    <w:abstractNumId w:val="5"/>
  </w:num>
  <w:num w:numId="6" w16cid:durableId="1572349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84"/>
    <w:rsid w:val="007347C4"/>
    <w:rsid w:val="00B93084"/>
    <w:rsid w:val="06C78976"/>
    <w:rsid w:val="06CB492D"/>
    <w:rsid w:val="10DE80A1"/>
    <w:rsid w:val="19E60ACC"/>
    <w:rsid w:val="19FFE55C"/>
    <w:rsid w:val="1A190DB9"/>
    <w:rsid w:val="1ABD538D"/>
    <w:rsid w:val="1FBF2BEC"/>
    <w:rsid w:val="201C1C48"/>
    <w:rsid w:val="249A8A95"/>
    <w:rsid w:val="255BC060"/>
    <w:rsid w:val="2B2577A4"/>
    <w:rsid w:val="2CA59C7A"/>
    <w:rsid w:val="34978602"/>
    <w:rsid w:val="35F77BEA"/>
    <w:rsid w:val="3767698E"/>
    <w:rsid w:val="3CBBC044"/>
    <w:rsid w:val="3FA0AAEC"/>
    <w:rsid w:val="4176090A"/>
    <w:rsid w:val="46DC92D9"/>
    <w:rsid w:val="54419A6D"/>
    <w:rsid w:val="58035BDE"/>
    <w:rsid w:val="5C159736"/>
    <w:rsid w:val="5CBDA4A4"/>
    <w:rsid w:val="5F4D37F8"/>
    <w:rsid w:val="65A3511F"/>
    <w:rsid w:val="67142738"/>
    <w:rsid w:val="68F41A3E"/>
    <w:rsid w:val="6F4A3365"/>
    <w:rsid w:val="7436CCE5"/>
    <w:rsid w:val="775D32D0"/>
    <w:rsid w:val="7EA4E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D1C40"/>
  <w15:docId w15:val="{86F655D2-199D-431D-B415-2DA936FF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center"/>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color w:val="134F5C"/>
      <w:sz w:val="32"/>
      <w:szCs w:val="32"/>
    </w:rPr>
  </w:style>
  <w:style w:type="paragraph" w:styleId="Heading3">
    <w:name w:val="heading 3"/>
    <w:basedOn w:val="Normal"/>
    <w:next w:val="Normal"/>
    <w:uiPriority w:val="9"/>
    <w:unhideWhenUsed/>
    <w:qFormat/>
    <w:pPr>
      <w:keepNext/>
      <w:keepLines/>
      <w:spacing w:before="320" w:after="80"/>
      <w:outlineLvl w:val="2"/>
    </w:pPr>
    <w:rPr>
      <w:b/>
      <w:color w:val="0B5394"/>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46"/>
      <w:szCs w:val="4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347C4"/>
    <w:rPr>
      <w:color w:val="0000FF" w:themeColor="hyperlink"/>
      <w:u w:val="single"/>
    </w:rPr>
  </w:style>
  <w:style w:type="character" w:styleId="UnresolvedMention">
    <w:name w:val="Unresolved Mention"/>
    <w:basedOn w:val="DefaultParagraphFont"/>
    <w:uiPriority w:val="99"/>
    <w:semiHidden/>
    <w:unhideWhenUsed/>
    <w:rsid w:val="00734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mMSReRhqqw" TargetMode="External"/><Relationship Id="rId5" Type="http://schemas.openxmlformats.org/officeDocument/2006/relationships/hyperlink" Target="https://www.crossref.org/guestque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Graves, John</cp:lastModifiedBy>
  <cp:revision>2</cp:revision>
  <cp:lastPrinted>2022-10-11T18:53:00Z</cp:lastPrinted>
  <dcterms:created xsi:type="dcterms:W3CDTF">2022-10-11T18:52:00Z</dcterms:created>
  <dcterms:modified xsi:type="dcterms:W3CDTF">2022-10-11T18:59:00Z</dcterms:modified>
</cp:coreProperties>
</file>